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AFFC" w14:textId="7D1F3745" w:rsidR="005B208B" w:rsidRPr="0060204A" w:rsidRDefault="00CD6481" w:rsidP="00CD6481">
      <w:pPr>
        <w:jc w:val="center"/>
        <w:rPr>
          <w:rFonts w:cs="Arial"/>
          <w:sz w:val="24"/>
          <w:szCs w:val="24"/>
        </w:rPr>
      </w:pPr>
      <w:r w:rsidRPr="0060204A">
        <w:rPr>
          <w:rFonts w:cs="Arial"/>
          <w:sz w:val="24"/>
          <w:szCs w:val="24"/>
        </w:rPr>
        <w:t>Data Dictionary</w:t>
      </w:r>
      <w:r w:rsidR="005B208B" w:rsidRPr="0060204A">
        <w:rPr>
          <w:rFonts w:cs="Arial"/>
          <w:sz w:val="24"/>
          <w:szCs w:val="24"/>
        </w:rPr>
        <w:t xml:space="preserve"> for Inappropriate Diagnosis of UTI Measure -CSM/Utah </w:t>
      </w:r>
    </w:p>
    <w:p w14:paraId="3D68C48F" w14:textId="7A94FEDE" w:rsidR="00EB3C3F" w:rsidRDefault="0060204A" w:rsidP="005B208B">
      <w:r>
        <w:t>To</w:t>
      </w:r>
      <w:r w:rsidR="00C209CB" w:rsidRPr="005B208B">
        <w:t xml:space="preserve"> accurately assess inappropriate diagnosis of </w:t>
      </w:r>
      <w:r>
        <w:t>UTI</w:t>
      </w:r>
      <w:r w:rsidR="00C209CB" w:rsidRPr="005B208B">
        <w:t xml:space="preserve">, it is necessary </w:t>
      </w:r>
      <w:r>
        <w:t>that</w:t>
      </w:r>
      <w:r w:rsidR="00C209CB" w:rsidRPr="005B208B">
        <w:t xml:space="preserve"> the correct population is being assessed</w:t>
      </w:r>
      <w:r>
        <w:t xml:space="preserve"> and that a</w:t>
      </w:r>
      <w:r w:rsidR="00C209CB" w:rsidRPr="005B208B">
        <w:t xml:space="preserve"> standard</w:t>
      </w:r>
      <w:r>
        <w:t>ized</w:t>
      </w:r>
      <w:r w:rsidR="00C209CB" w:rsidRPr="005B208B">
        <w:t xml:space="preserve"> method for collecting data</w:t>
      </w:r>
      <w:r>
        <w:t xml:space="preserve"> is used</w:t>
      </w:r>
      <w:r w:rsidR="00C209CB" w:rsidRPr="005B208B">
        <w:t xml:space="preserve">. This </w:t>
      </w:r>
      <w:r>
        <w:t>data dictionary</w:t>
      </w:r>
      <w:r w:rsidR="00C209CB" w:rsidRPr="005B208B">
        <w:t xml:space="preserve"> provides guidance for using the </w:t>
      </w:r>
      <w:r>
        <w:t>Inappropriate Diagnosis of UTI REDCap abstraction tool</w:t>
      </w:r>
      <w:r w:rsidR="00C209CB" w:rsidRPr="005B208B">
        <w:t>.</w:t>
      </w:r>
    </w:p>
    <w:sdt>
      <w:sdtPr>
        <w:rPr>
          <w:rFonts w:eastAsiaTheme="minorEastAsia" w:cstheme="minorBidi"/>
          <w:b w:val="0"/>
          <w:color w:val="auto"/>
          <w:sz w:val="22"/>
          <w:szCs w:val="22"/>
        </w:rPr>
        <w:id w:val="-1354412706"/>
        <w:docPartObj>
          <w:docPartGallery w:val="Table of Contents"/>
          <w:docPartUnique/>
        </w:docPartObj>
      </w:sdtPr>
      <w:sdtEndPr>
        <w:rPr>
          <w:bCs/>
          <w:noProof/>
        </w:rPr>
      </w:sdtEndPr>
      <w:sdtContent>
        <w:p w14:paraId="3B382AD6" w14:textId="4704B424" w:rsidR="00D64E56" w:rsidRDefault="00D64E56">
          <w:pPr>
            <w:pStyle w:val="TOCHeading"/>
          </w:pPr>
          <w:r>
            <w:t>Table of Contents</w:t>
          </w:r>
        </w:p>
        <w:p w14:paraId="196F1953" w14:textId="71BD1BD3" w:rsidR="005A15BD" w:rsidRDefault="00D64E56">
          <w:pPr>
            <w:pStyle w:val="TOC1"/>
            <w:tabs>
              <w:tab w:val="right" w:leader="dot" w:pos="14390"/>
            </w:tabs>
            <w:rPr>
              <w:rFonts w:asciiTheme="minorHAnsi" w:hAnsiTheme="minorHAnsi"/>
              <w:noProof/>
            </w:rPr>
          </w:pPr>
          <w:r w:rsidRPr="0060204A">
            <w:rPr>
              <w:sz w:val="20"/>
              <w:szCs w:val="20"/>
            </w:rPr>
            <w:fldChar w:fldCharType="begin"/>
          </w:r>
          <w:r w:rsidRPr="0060204A">
            <w:rPr>
              <w:sz w:val="20"/>
              <w:szCs w:val="20"/>
            </w:rPr>
            <w:instrText xml:space="preserve"> TOC \o "1-3" \h \z \u </w:instrText>
          </w:r>
          <w:r w:rsidRPr="0060204A">
            <w:rPr>
              <w:sz w:val="20"/>
              <w:szCs w:val="20"/>
            </w:rPr>
            <w:fldChar w:fldCharType="separate"/>
          </w:r>
          <w:hyperlink w:anchor="_Toc115178809" w:history="1">
            <w:r w:rsidR="005A15BD" w:rsidRPr="00356D3E">
              <w:rPr>
                <w:rStyle w:val="Hyperlink"/>
                <w:noProof/>
              </w:rPr>
              <w:t>Link to REDCap Abstraction Tool</w:t>
            </w:r>
            <w:r w:rsidR="005A15BD">
              <w:rPr>
                <w:noProof/>
                <w:webHidden/>
              </w:rPr>
              <w:tab/>
            </w:r>
            <w:r w:rsidR="005A15BD">
              <w:rPr>
                <w:noProof/>
                <w:webHidden/>
              </w:rPr>
              <w:fldChar w:fldCharType="begin"/>
            </w:r>
            <w:r w:rsidR="005A15BD">
              <w:rPr>
                <w:noProof/>
                <w:webHidden/>
              </w:rPr>
              <w:instrText xml:space="preserve"> PAGEREF _Toc115178809 \h </w:instrText>
            </w:r>
            <w:r w:rsidR="005A15BD">
              <w:rPr>
                <w:noProof/>
                <w:webHidden/>
              </w:rPr>
            </w:r>
            <w:r w:rsidR="005A15BD">
              <w:rPr>
                <w:noProof/>
                <w:webHidden/>
              </w:rPr>
              <w:fldChar w:fldCharType="separate"/>
            </w:r>
            <w:r w:rsidR="009202F4">
              <w:rPr>
                <w:noProof/>
                <w:webHidden/>
              </w:rPr>
              <w:t>2</w:t>
            </w:r>
            <w:r w:rsidR="005A15BD">
              <w:rPr>
                <w:noProof/>
                <w:webHidden/>
              </w:rPr>
              <w:fldChar w:fldCharType="end"/>
            </w:r>
          </w:hyperlink>
        </w:p>
        <w:p w14:paraId="562B4537" w14:textId="26DEE61C" w:rsidR="005A15BD" w:rsidRDefault="005A15BD">
          <w:pPr>
            <w:pStyle w:val="TOC1"/>
            <w:tabs>
              <w:tab w:val="right" w:leader="dot" w:pos="14390"/>
            </w:tabs>
            <w:rPr>
              <w:rFonts w:asciiTheme="minorHAnsi" w:hAnsiTheme="minorHAnsi"/>
              <w:noProof/>
            </w:rPr>
          </w:pPr>
          <w:hyperlink w:anchor="_Toc115178810" w:history="1">
            <w:r w:rsidRPr="00356D3E">
              <w:rPr>
                <w:rStyle w:val="Hyperlink"/>
                <w:noProof/>
              </w:rPr>
              <w:t>Hospital</w:t>
            </w:r>
            <w:r>
              <w:rPr>
                <w:noProof/>
                <w:webHidden/>
              </w:rPr>
              <w:tab/>
            </w:r>
            <w:r>
              <w:rPr>
                <w:noProof/>
                <w:webHidden/>
              </w:rPr>
              <w:fldChar w:fldCharType="begin"/>
            </w:r>
            <w:r>
              <w:rPr>
                <w:noProof/>
                <w:webHidden/>
              </w:rPr>
              <w:instrText xml:space="preserve"> PAGEREF _Toc115178810 \h </w:instrText>
            </w:r>
            <w:r>
              <w:rPr>
                <w:noProof/>
                <w:webHidden/>
              </w:rPr>
            </w:r>
            <w:r>
              <w:rPr>
                <w:noProof/>
                <w:webHidden/>
              </w:rPr>
              <w:fldChar w:fldCharType="separate"/>
            </w:r>
            <w:r w:rsidR="009202F4">
              <w:rPr>
                <w:noProof/>
                <w:webHidden/>
              </w:rPr>
              <w:t>2</w:t>
            </w:r>
            <w:r>
              <w:rPr>
                <w:noProof/>
                <w:webHidden/>
              </w:rPr>
              <w:fldChar w:fldCharType="end"/>
            </w:r>
          </w:hyperlink>
        </w:p>
        <w:p w14:paraId="550B346F" w14:textId="25CEC2A9" w:rsidR="005A15BD" w:rsidRDefault="005A15BD">
          <w:pPr>
            <w:pStyle w:val="TOC1"/>
            <w:tabs>
              <w:tab w:val="right" w:leader="dot" w:pos="14390"/>
            </w:tabs>
            <w:rPr>
              <w:rFonts w:asciiTheme="minorHAnsi" w:hAnsiTheme="minorHAnsi"/>
              <w:noProof/>
            </w:rPr>
          </w:pPr>
          <w:hyperlink w:anchor="_Toc115178811" w:history="1">
            <w:r w:rsidRPr="00356D3E">
              <w:rPr>
                <w:rStyle w:val="Hyperlink"/>
                <w:noProof/>
              </w:rPr>
              <w:t>Time Abstractor Begins Case Review</w:t>
            </w:r>
            <w:r>
              <w:rPr>
                <w:noProof/>
                <w:webHidden/>
              </w:rPr>
              <w:tab/>
            </w:r>
            <w:r>
              <w:rPr>
                <w:noProof/>
                <w:webHidden/>
              </w:rPr>
              <w:fldChar w:fldCharType="begin"/>
            </w:r>
            <w:r>
              <w:rPr>
                <w:noProof/>
                <w:webHidden/>
              </w:rPr>
              <w:instrText xml:space="preserve"> PAGEREF _Toc115178811 \h </w:instrText>
            </w:r>
            <w:r>
              <w:rPr>
                <w:noProof/>
                <w:webHidden/>
              </w:rPr>
            </w:r>
            <w:r>
              <w:rPr>
                <w:noProof/>
                <w:webHidden/>
              </w:rPr>
              <w:fldChar w:fldCharType="separate"/>
            </w:r>
            <w:r w:rsidR="009202F4">
              <w:rPr>
                <w:noProof/>
                <w:webHidden/>
              </w:rPr>
              <w:t>2</w:t>
            </w:r>
            <w:r>
              <w:rPr>
                <w:noProof/>
                <w:webHidden/>
              </w:rPr>
              <w:fldChar w:fldCharType="end"/>
            </w:r>
          </w:hyperlink>
        </w:p>
        <w:p w14:paraId="29E75DEB" w14:textId="3474C301" w:rsidR="005A15BD" w:rsidRDefault="005A15BD">
          <w:pPr>
            <w:pStyle w:val="TOC1"/>
            <w:tabs>
              <w:tab w:val="right" w:leader="dot" w:pos="14390"/>
            </w:tabs>
            <w:rPr>
              <w:rFonts w:asciiTheme="minorHAnsi" w:hAnsiTheme="minorHAnsi"/>
              <w:noProof/>
            </w:rPr>
          </w:pPr>
          <w:hyperlink w:anchor="_Toc115178812" w:history="1">
            <w:r w:rsidRPr="00356D3E">
              <w:rPr>
                <w:rStyle w:val="Hyperlink"/>
                <w:noProof/>
              </w:rPr>
              <w:t>Case Code</w:t>
            </w:r>
            <w:r>
              <w:rPr>
                <w:noProof/>
                <w:webHidden/>
              </w:rPr>
              <w:tab/>
            </w:r>
            <w:r>
              <w:rPr>
                <w:noProof/>
                <w:webHidden/>
              </w:rPr>
              <w:fldChar w:fldCharType="begin"/>
            </w:r>
            <w:r>
              <w:rPr>
                <w:noProof/>
                <w:webHidden/>
              </w:rPr>
              <w:instrText xml:space="preserve"> PAGEREF _Toc115178812 \h </w:instrText>
            </w:r>
            <w:r>
              <w:rPr>
                <w:noProof/>
                <w:webHidden/>
              </w:rPr>
            </w:r>
            <w:r>
              <w:rPr>
                <w:noProof/>
                <w:webHidden/>
              </w:rPr>
              <w:fldChar w:fldCharType="separate"/>
            </w:r>
            <w:r w:rsidR="009202F4">
              <w:rPr>
                <w:noProof/>
                <w:webHidden/>
              </w:rPr>
              <w:t>2</w:t>
            </w:r>
            <w:r>
              <w:rPr>
                <w:noProof/>
                <w:webHidden/>
              </w:rPr>
              <w:fldChar w:fldCharType="end"/>
            </w:r>
          </w:hyperlink>
        </w:p>
        <w:p w14:paraId="2C0AC0D0" w14:textId="3DE4B264" w:rsidR="005A15BD" w:rsidRDefault="005A15BD">
          <w:pPr>
            <w:pStyle w:val="TOC1"/>
            <w:tabs>
              <w:tab w:val="right" w:leader="dot" w:pos="14390"/>
            </w:tabs>
            <w:rPr>
              <w:rFonts w:asciiTheme="minorHAnsi" w:hAnsiTheme="minorHAnsi"/>
              <w:noProof/>
            </w:rPr>
          </w:pPr>
          <w:hyperlink w:anchor="_Toc115178813" w:history="1">
            <w:r w:rsidRPr="00356D3E">
              <w:rPr>
                <w:rStyle w:val="Hyperlink"/>
                <w:noProof/>
              </w:rPr>
              <w:t>Inclusion Criteria</w:t>
            </w:r>
            <w:r>
              <w:rPr>
                <w:noProof/>
                <w:webHidden/>
              </w:rPr>
              <w:tab/>
            </w:r>
            <w:r>
              <w:rPr>
                <w:noProof/>
                <w:webHidden/>
              </w:rPr>
              <w:fldChar w:fldCharType="begin"/>
            </w:r>
            <w:r>
              <w:rPr>
                <w:noProof/>
                <w:webHidden/>
              </w:rPr>
              <w:instrText xml:space="preserve"> PAGEREF _Toc115178813 \h </w:instrText>
            </w:r>
            <w:r>
              <w:rPr>
                <w:noProof/>
                <w:webHidden/>
              </w:rPr>
            </w:r>
            <w:r>
              <w:rPr>
                <w:noProof/>
                <w:webHidden/>
              </w:rPr>
              <w:fldChar w:fldCharType="separate"/>
            </w:r>
            <w:r w:rsidR="009202F4">
              <w:rPr>
                <w:noProof/>
                <w:webHidden/>
              </w:rPr>
              <w:t>3</w:t>
            </w:r>
            <w:r>
              <w:rPr>
                <w:noProof/>
                <w:webHidden/>
              </w:rPr>
              <w:fldChar w:fldCharType="end"/>
            </w:r>
          </w:hyperlink>
        </w:p>
        <w:p w14:paraId="3393A722" w14:textId="522D5778" w:rsidR="005A15BD" w:rsidRDefault="005A15BD">
          <w:pPr>
            <w:pStyle w:val="TOC2"/>
            <w:tabs>
              <w:tab w:val="right" w:leader="dot" w:pos="14390"/>
            </w:tabs>
            <w:rPr>
              <w:rFonts w:asciiTheme="minorHAnsi" w:hAnsiTheme="minorHAnsi"/>
              <w:noProof/>
            </w:rPr>
          </w:pPr>
          <w:hyperlink w:anchor="_Toc115178814" w:history="1">
            <w:r w:rsidRPr="00356D3E">
              <w:rPr>
                <w:rStyle w:val="Hyperlink"/>
                <w:noProof/>
              </w:rPr>
              <w:t>Criterion</w:t>
            </w:r>
            <w:r>
              <w:rPr>
                <w:noProof/>
                <w:webHidden/>
              </w:rPr>
              <w:tab/>
            </w:r>
            <w:r>
              <w:rPr>
                <w:noProof/>
                <w:webHidden/>
              </w:rPr>
              <w:fldChar w:fldCharType="begin"/>
            </w:r>
            <w:r>
              <w:rPr>
                <w:noProof/>
                <w:webHidden/>
              </w:rPr>
              <w:instrText xml:space="preserve"> PAGEREF _Toc115178814 \h </w:instrText>
            </w:r>
            <w:r>
              <w:rPr>
                <w:noProof/>
                <w:webHidden/>
              </w:rPr>
            </w:r>
            <w:r>
              <w:rPr>
                <w:noProof/>
                <w:webHidden/>
              </w:rPr>
              <w:fldChar w:fldCharType="separate"/>
            </w:r>
            <w:r w:rsidR="009202F4">
              <w:rPr>
                <w:noProof/>
                <w:webHidden/>
              </w:rPr>
              <w:t>3</w:t>
            </w:r>
            <w:r>
              <w:rPr>
                <w:noProof/>
                <w:webHidden/>
              </w:rPr>
              <w:fldChar w:fldCharType="end"/>
            </w:r>
          </w:hyperlink>
        </w:p>
        <w:p w14:paraId="427F8656" w14:textId="6F4D74CE" w:rsidR="005A15BD" w:rsidRDefault="005A15BD">
          <w:pPr>
            <w:pStyle w:val="TOC1"/>
            <w:tabs>
              <w:tab w:val="right" w:leader="dot" w:pos="14390"/>
            </w:tabs>
            <w:rPr>
              <w:rFonts w:asciiTheme="minorHAnsi" w:hAnsiTheme="minorHAnsi"/>
              <w:noProof/>
            </w:rPr>
          </w:pPr>
          <w:hyperlink w:anchor="_Toc115178815" w:history="1">
            <w:r w:rsidRPr="00356D3E">
              <w:rPr>
                <w:rStyle w:val="Hyperlink"/>
                <w:noProof/>
              </w:rPr>
              <w:t>Exclusion Criteria</w:t>
            </w:r>
            <w:r>
              <w:rPr>
                <w:noProof/>
                <w:webHidden/>
              </w:rPr>
              <w:tab/>
            </w:r>
            <w:r>
              <w:rPr>
                <w:noProof/>
                <w:webHidden/>
              </w:rPr>
              <w:fldChar w:fldCharType="begin"/>
            </w:r>
            <w:r>
              <w:rPr>
                <w:noProof/>
                <w:webHidden/>
              </w:rPr>
              <w:instrText xml:space="preserve"> PAGEREF _Toc115178815 \h </w:instrText>
            </w:r>
            <w:r>
              <w:rPr>
                <w:noProof/>
                <w:webHidden/>
              </w:rPr>
            </w:r>
            <w:r>
              <w:rPr>
                <w:noProof/>
                <w:webHidden/>
              </w:rPr>
              <w:fldChar w:fldCharType="separate"/>
            </w:r>
            <w:r w:rsidR="009202F4">
              <w:rPr>
                <w:noProof/>
                <w:webHidden/>
              </w:rPr>
              <w:t>5</w:t>
            </w:r>
            <w:r>
              <w:rPr>
                <w:noProof/>
                <w:webHidden/>
              </w:rPr>
              <w:fldChar w:fldCharType="end"/>
            </w:r>
          </w:hyperlink>
        </w:p>
        <w:p w14:paraId="315179EB" w14:textId="1B476B7C" w:rsidR="005A15BD" w:rsidRDefault="005A15BD">
          <w:pPr>
            <w:pStyle w:val="TOC1"/>
            <w:tabs>
              <w:tab w:val="right" w:leader="dot" w:pos="14390"/>
            </w:tabs>
            <w:rPr>
              <w:rFonts w:asciiTheme="minorHAnsi" w:hAnsiTheme="minorHAnsi"/>
              <w:noProof/>
            </w:rPr>
          </w:pPr>
          <w:hyperlink w:anchor="_Toc115178816" w:history="1">
            <w:r w:rsidRPr="00356D3E">
              <w:rPr>
                <w:rStyle w:val="Hyperlink"/>
                <w:noProof/>
              </w:rPr>
              <w:t>Hospitalization</w:t>
            </w:r>
            <w:r>
              <w:rPr>
                <w:noProof/>
                <w:webHidden/>
              </w:rPr>
              <w:tab/>
            </w:r>
            <w:r>
              <w:rPr>
                <w:noProof/>
                <w:webHidden/>
              </w:rPr>
              <w:fldChar w:fldCharType="begin"/>
            </w:r>
            <w:r>
              <w:rPr>
                <w:noProof/>
                <w:webHidden/>
              </w:rPr>
              <w:instrText xml:space="preserve"> PAGEREF _Toc115178816 \h </w:instrText>
            </w:r>
            <w:r>
              <w:rPr>
                <w:noProof/>
                <w:webHidden/>
              </w:rPr>
            </w:r>
            <w:r>
              <w:rPr>
                <w:noProof/>
                <w:webHidden/>
              </w:rPr>
              <w:fldChar w:fldCharType="separate"/>
            </w:r>
            <w:r w:rsidR="009202F4">
              <w:rPr>
                <w:noProof/>
                <w:webHidden/>
              </w:rPr>
              <w:t>5</w:t>
            </w:r>
            <w:r>
              <w:rPr>
                <w:noProof/>
                <w:webHidden/>
              </w:rPr>
              <w:fldChar w:fldCharType="end"/>
            </w:r>
          </w:hyperlink>
        </w:p>
        <w:p w14:paraId="1DBEFCB2" w14:textId="188CFFD3" w:rsidR="005A15BD" w:rsidRDefault="005A15BD">
          <w:pPr>
            <w:pStyle w:val="TOC2"/>
            <w:tabs>
              <w:tab w:val="right" w:leader="dot" w:pos="14390"/>
            </w:tabs>
            <w:rPr>
              <w:rFonts w:asciiTheme="minorHAnsi" w:hAnsiTheme="minorHAnsi"/>
              <w:noProof/>
            </w:rPr>
          </w:pPr>
          <w:hyperlink w:anchor="_Toc115178817" w:history="1">
            <w:r w:rsidRPr="00356D3E">
              <w:rPr>
                <w:rStyle w:val="Hyperlink"/>
                <w:noProof/>
              </w:rPr>
              <w:t>Location at the time of culture</w:t>
            </w:r>
            <w:r>
              <w:rPr>
                <w:noProof/>
                <w:webHidden/>
              </w:rPr>
              <w:tab/>
            </w:r>
            <w:r>
              <w:rPr>
                <w:noProof/>
                <w:webHidden/>
              </w:rPr>
              <w:fldChar w:fldCharType="begin"/>
            </w:r>
            <w:r>
              <w:rPr>
                <w:noProof/>
                <w:webHidden/>
              </w:rPr>
              <w:instrText xml:space="preserve"> PAGEREF _Toc115178817 \h </w:instrText>
            </w:r>
            <w:r>
              <w:rPr>
                <w:noProof/>
                <w:webHidden/>
              </w:rPr>
            </w:r>
            <w:r>
              <w:rPr>
                <w:noProof/>
                <w:webHidden/>
              </w:rPr>
              <w:fldChar w:fldCharType="separate"/>
            </w:r>
            <w:r w:rsidR="009202F4">
              <w:rPr>
                <w:noProof/>
                <w:webHidden/>
              </w:rPr>
              <w:t>5</w:t>
            </w:r>
            <w:r>
              <w:rPr>
                <w:noProof/>
                <w:webHidden/>
              </w:rPr>
              <w:fldChar w:fldCharType="end"/>
            </w:r>
          </w:hyperlink>
        </w:p>
        <w:p w14:paraId="42F107B7" w14:textId="2D6BAEE1" w:rsidR="005A15BD" w:rsidRDefault="005A15BD">
          <w:pPr>
            <w:pStyle w:val="TOC2"/>
            <w:tabs>
              <w:tab w:val="right" w:leader="dot" w:pos="14390"/>
            </w:tabs>
            <w:rPr>
              <w:rFonts w:asciiTheme="minorHAnsi" w:hAnsiTheme="minorHAnsi"/>
              <w:noProof/>
            </w:rPr>
          </w:pPr>
          <w:hyperlink w:anchor="_Toc115178818" w:history="1">
            <w:r w:rsidRPr="00356D3E">
              <w:rPr>
                <w:rStyle w:val="Hyperlink"/>
                <w:noProof/>
              </w:rPr>
              <w:t>Was the culture reflexed from a urinalysis (UA)?</w:t>
            </w:r>
            <w:r>
              <w:rPr>
                <w:noProof/>
                <w:webHidden/>
              </w:rPr>
              <w:tab/>
            </w:r>
            <w:r>
              <w:rPr>
                <w:noProof/>
                <w:webHidden/>
              </w:rPr>
              <w:fldChar w:fldCharType="begin"/>
            </w:r>
            <w:r>
              <w:rPr>
                <w:noProof/>
                <w:webHidden/>
              </w:rPr>
              <w:instrText xml:space="preserve"> PAGEREF _Toc115178818 \h </w:instrText>
            </w:r>
            <w:r>
              <w:rPr>
                <w:noProof/>
                <w:webHidden/>
              </w:rPr>
            </w:r>
            <w:r>
              <w:rPr>
                <w:noProof/>
                <w:webHidden/>
              </w:rPr>
              <w:fldChar w:fldCharType="separate"/>
            </w:r>
            <w:r w:rsidR="009202F4">
              <w:rPr>
                <w:noProof/>
                <w:webHidden/>
              </w:rPr>
              <w:t>6</w:t>
            </w:r>
            <w:r>
              <w:rPr>
                <w:noProof/>
                <w:webHidden/>
              </w:rPr>
              <w:fldChar w:fldCharType="end"/>
            </w:r>
          </w:hyperlink>
        </w:p>
        <w:p w14:paraId="33C1C329" w14:textId="5C92ED18" w:rsidR="005A15BD" w:rsidRDefault="005A15BD">
          <w:pPr>
            <w:pStyle w:val="TOC2"/>
            <w:tabs>
              <w:tab w:val="right" w:leader="dot" w:pos="14390"/>
            </w:tabs>
            <w:rPr>
              <w:rFonts w:asciiTheme="minorHAnsi" w:hAnsiTheme="minorHAnsi"/>
              <w:noProof/>
            </w:rPr>
          </w:pPr>
          <w:hyperlink w:anchor="_Toc115178819" w:history="1">
            <w:r w:rsidRPr="00356D3E">
              <w:rPr>
                <w:rStyle w:val="Hyperlink"/>
                <w:noProof/>
              </w:rPr>
              <w:t>Date of Hospital Encounter:</w:t>
            </w:r>
            <w:r>
              <w:rPr>
                <w:noProof/>
                <w:webHidden/>
              </w:rPr>
              <w:tab/>
            </w:r>
            <w:r>
              <w:rPr>
                <w:noProof/>
                <w:webHidden/>
              </w:rPr>
              <w:fldChar w:fldCharType="begin"/>
            </w:r>
            <w:r>
              <w:rPr>
                <w:noProof/>
                <w:webHidden/>
              </w:rPr>
              <w:instrText xml:space="preserve"> PAGEREF _Toc115178819 \h </w:instrText>
            </w:r>
            <w:r>
              <w:rPr>
                <w:noProof/>
                <w:webHidden/>
              </w:rPr>
            </w:r>
            <w:r>
              <w:rPr>
                <w:noProof/>
                <w:webHidden/>
              </w:rPr>
              <w:fldChar w:fldCharType="separate"/>
            </w:r>
            <w:r w:rsidR="009202F4">
              <w:rPr>
                <w:noProof/>
                <w:webHidden/>
              </w:rPr>
              <w:t>6</w:t>
            </w:r>
            <w:r>
              <w:rPr>
                <w:noProof/>
                <w:webHidden/>
              </w:rPr>
              <w:fldChar w:fldCharType="end"/>
            </w:r>
          </w:hyperlink>
        </w:p>
        <w:p w14:paraId="2B68C0E8" w14:textId="60D4CB26" w:rsidR="005A15BD" w:rsidRDefault="005A15BD">
          <w:pPr>
            <w:pStyle w:val="TOC2"/>
            <w:tabs>
              <w:tab w:val="right" w:leader="dot" w:pos="14390"/>
            </w:tabs>
            <w:rPr>
              <w:rFonts w:asciiTheme="minorHAnsi" w:hAnsiTheme="minorHAnsi"/>
              <w:noProof/>
            </w:rPr>
          </w:pPr>
          <w:hyperlink w:anchor="_Toc115178820" w:history="1">
            <w:r w:rsidRPr="00356D3E">
              <w:rPr>
                <w:rStyle w:val="Hyperlink"/>
                <w:noProof/>
              </w:rPr>
              <w:t>Date of Admission to Hospital:</w:t>
            </w:r>
            <w:r>
              <w:rPr>
                <w:noProof/>
                <w:webHidden/>
              </w:rPr>
              <w:tab/>
            </w:r>
            <w:r>
              <w:rPr>
                <w:noProof/>
                <w:webHidden/>
              </w:rPr>
              <w:fldChar w:fldCharType="begin"/>
            </w:r>
            <w:r>
              <w:rPr>
                <w:noProof/>
                <w:webHidden/>
              </w:rPr>
              <w:instrText xml:space="preserve"> PAGEREF _Toc115178820 \h </w:instrText>
            </w:r>
            <w:r>
              <w:rPr>
                <w:noProof/>
                <w:webHidden/>
              </w:rPr>
            </w:r>
            <w:r>
              <w:rPr>
                <w:noProof/>
                <w:webHidden/>
              </w:rPr>
              <w:fldChar w:fldCharType="separate"/>
            </w:r>
            <w:r w:rsidR="009202F4">
              <w:rPr>
                <w:noProof/>
                <w:webHidden/>
              </w:rPr>
              <w:t>6</w:t>
            </w:r>
            <w:r>
              <w:rPr>
                <w:noProof/>
                <w:webHidden/>
              </w:rPr>
              <w:fldChar w:fldCharType="end"/>
            </w:r>
          </w:hyperlink>
        </w:p>
        <w:p w14:paraId="6CBD42EB" w14:textId="48CF5E18" w:rsidR="005A15BD" w:rsidRDefault="005A15BD">
          <w:pPr>
            <w:pStyle w:val="TOC2"/>
            <w:tabs>
              <w:tab w:val="right" w:leader="dot" w:pos="14390"/>
            </w:tabs>
            <w:rPr>
              <w:rFonts w:asciiTheme="minorHAnsi" w:hAnsiTheme="minorHAnsi"/>
              <w:noProof/>
            </w:rPr>
          </w:pPr>
          <w:hyperlink w:anchor="_Toc115178821" w:history="1">
            <w:r w:rsidRPr="00356D3E">
              <w:rPr>
                <w:rStyle w:val="Hyperlink"/>
                <w:noProof/>
              </w:rPr>
              <w:t>Date first positive urine culture was collected: This is defined as Day 0</w:t>
            </w:r>
            <w:r>
              <w:rPr>
                <w:noProof/>
                <w:webHidden/>
              </w:rPr>
              <w:tab/>
            </w:r>
            <w:r>
              <w:rPr>
                <w:noProof/>
                <w:webHidden/>
              </w:rPr>
              <w:fldChar w:fldCharType="begin"/>
            </w:r>
            <w:r>
              <w:rPr>
                <w:noProof/>
                <w:webHidden/>
              </w:rPr>
              <w:instrText xml:space="preserve"> PAGEREF _Toc115178821 \h </w:instrText>
            </w:r>
            <w:r>
              <w:rPr>
                <w:noProof/>
                <w:webHidden/>
              </w:rPr>
            </w:r>
            <w:r>
              <w:rPr>
                <w:noProof/>
                <w:webHidden/>
              </w:rPr>
              <w:fldChar w:fldCharType="separate"/>
            </w:r>
            <w:r w:rsidR="009202F4">
              <w:rPr>
                <w:noProof/>
                <w:webHidden/>
              </w:rPr>
              <w:t>6</w:t>
            </w:r>
            <w:r>
              <w:rPr>
                <w:noProof/>
                <w:webHidden/>
              </w:rPr>
              <w:fldChar w:fldCharType="end"/>
            </w:r>
          </w:hyperlink>
        </w:p>
        <w:p w14:paraId="33BD2BE1" w14:textId="46CE3128" w:rsidR="005A15BD" w:rsidRDefault="005A15BD">
          <w:pPr>
            <w:pStyle w:val="TOC2"/>
            <w:tabs>
              <w:tab w:val="right" w:leader="dot" w:pos="14390"/>
            </w:tabs>
            <w:rPr>
              <w:rFonts w:asciiTheme="minorHAnsi" w:hAnsiTheme="minorHAnsi"/>
              <w:noProof/>
            </w:rPr>
          </w:pPr>
          <w:hyperlink w:anchor="_Toc115178822" w:history="1">
            <w:r w:rsidRPr="00356D3E">
              <w:rPr>
                <w:rStyle w:val="Hyperlink"/>
                <w:noProof/>
              </w:rPr>
              <w:t>Date of Discharge from Hospital:</w:t>
            </w:r>
            <w:r>
              <w:rPr>
                <w:noProof/>
                <w:webHidden/>
              </w:rPr>
              <w:tab/>
            </w:r>
            <w:r>
              <w:rPr>
                <w:noProof/>
                <w:webHidden/>
              </w:rPr>
              <w:fldChar w:fldCharType="begin"/>
            </w:r>
            <w:r>
              <w:rPr>
                <w:noProof/>
                <w:webHidden/>
              </w:rPr>
              <w:instrText xml:space="preserve"> PAGEREF _Toc115178822 \h </w:instrText>
            </w:r>
            <w:r>
              <w:rPr>
                <w:noProof/>
                <w:webHidden/>
              </w:rPr>
            </w:r>
            <w:r>
              <w:rPr>
                <w:noProof/>
                <w:webHidden/>
              </w:rPr>
              <w:fldChar w:fldCharType="separate"/>
            </w:r>
            <w:r w:rsidR="009202F4">
              <w:rPr>
                <w:noProof/>
                <w:webHidden/>
              </w:rPr>
              <w:t>6</w:t>
            </w:r>
            <w:r>
              <w:rPr>
                <w:noProof/>
                <w:webHidden/>
              </w:rPr>
              <w:fldChar w:fldCharType="end"/>
            </w:r>
          </w:hyperlink>
        </w:p>
        <w:p w14:paraId="7B492FF9" w14:textId="1BE19889" w:rsidR="005A15BD" w:rsidRDefault="005A15BD">
          <w:pPr>
            <w:pStyle w:val="TOC1"/>
            <w:tabs>
              <w:tab w:val="right" w:leader="dot" w:pos="14390"/>
            </w:tabs>
            <w:rPr>
              <w:rFonts w:asciiTheme="minorHAnsi" w:hAnsiTheme="minorHAnsi"/>
              <w:noProof/>
            </w:rPr>
          </w:pPr>
          <w:hyperlink w:anchor="_Toc115178823" w:history="1">
            <w:r w:rsidRPr="00356D3E">
              <w:rPr>
                <w:rStyle w:val="Hyperlink"/>
                <w:noProof/>
              </w:rPr>
              <w:t>Demographics</w:t>
            </w:r>
            <w:r>
              <w:rPr>
                <w:noProof/>
                <w:webHidden/>
              </w:rPr>
              <w:tab/>
            </w:r>
            <w:r>
              <w:rPr>
                <w:noProof/>
                <w:webHidden/>
              </w:rPr>
              <w:fldChar w:fldCharType="begin"/>
            </w:r>
            <w:r>
              <w:rPr>
                <w:noProof/>
                <w:webHidden/>
              </w:rPr>
              <w:instrText xml:space="preserve"> PAGEREF _Toc115178823 \h </w:instrText>
            </w:r>
            <w:r>
              <w:rPr>
                <w:noProof/>
                <w:webHidden/>
              </w:rPr>
            </w:r>
            <w:r>
              <w:rPr>
                <w:noProof/>
                <w:webHidden/>
              </w:rPr>
              <w:fldChar w:fldCharType="separate"/>
            </w:r>
            <w:r w:rsidR="009202F4">
              <w:rPr>
                <w:noProof/>
                <w:webHidden/>
              </w:rPr>
              <w:t>6</w:t>
            </w:r>
            <w:r>
              <w:rPr>
                <w:noProof/>
                <w:webHidden/>
              </w:rPr>
              <w:fldChar w:fldCharType="end"/>
            </w:r>
          </w:hyperlink>
        </w:p>
        <w:p w14:paraId="41C27079" w14:textId="3E880675" w:rsidR="005A15BD" w:rsidRDefault="005A15BD">
          <w:pPr>
            <w:pStyle w:val="TOC1"/>
            <w:tabs>
              <w:tab w:val="right" w:leader="dot" w:pos="14390"/>
            </w:tabs>
            <w:rPr>
              <w:rFonts w:asciiTheme="minorHAnsi" w:hAnsiTheme="minorHAnsi"/>
              <w:noProof/>
            </w:rPr>
          </w:pPr>
          <w:hyperlink w:anchor="_Toc115178824" w:history="1">
            <w:r w:rsidRPr="00356D3E">
              <w:rPr>
                <w:rStyle w:val="Hyperlink"/>
                <w:noProof/>
              </w:rPr>
              <w:t>Co-Morbidities</w:t>
            </w:r>
            <w:r>
              <w:rPr>
                <w:noProof/>
                <w:webHidden/>
              </w:rPr>
              <w:tab/>
            </w:r>
            <w:r>
              <w:rPr>
                <w:noProof/>
                <w:webHidden/>
              </w:rPr>
              <w:fldChar w:fldCharType="begin"/>
            </w:r>
            <w:r>
              <w:rPr>
                <w:noProof/>
                <w:webHidden/>
              </w:rPr>
              <w:instrText xml:space="preserve"> PAGEREF _Toc115178824 \h </w:instrText>
            </w:r>
            <w:r>
              <w:rPr>
                <w:noProof/>
                <w:webHidden/>
              </w:rPr>
            </w:r>
            <w:r>
              <w:rPr>
                <w:noProof/>
                <w:webHidden/>
              </w:rPr>
              <w:fldChar w:fldCharType="separate"/>
            </w:r>
            <w:r w:rsidR="009202F4">
              <w:rPr>
                <w:noProof/>
                <w:webHidden/>
              </w:rPr>
              <w:t>7</w:t>
            </w:r>
            <w:r>
              <w:rPr>
                <w:noProof/>
                <w:webHidden/>
              </w:rPr>
              <w:fldChar w:fldCharType="end"/>
            </w:r>
          </w:hyperlink>
        </w:p>
        <w:p w14:paraId="5B61A61A" w14:textId="738638B2" w:rsidR="005A15BD" w:rsidRDefault="005A15BD">
          <w:pPr>
            <w:pStyle w:val="TOC1"/>
            <w:tabs>
              <w:tab w:val="right" w:leader="dot" w:pos="14390"/>
            </w:tabs>
            <w:rPr>
              <w:rFonts w:asciiTheme="minorHAnsi" w:hAnsiTheme="minorHAnsi"/>
              <w:noProof/>
            </w:rPr>
          </w:pPr>
          <w:hyperlink w:anchor="_Toc115178825" w:history="1">
            <w:r w:rsidRPr="00356D3E">
              <w:rPr>
                <w:rStyle w:val="Hyperlink"/>
                <w:noProof/>
              </w:rPr>
              <w:t>SIRS Criteria and Organ Dysfunction</w:t>
            </w:r>
            <w:r>
              <w:rPr>
                <w:noProof/>
                <w:webHidden/>
              </w:rPr>
              <w:tab/>
            </w:r>
            <w:r>
              <w:rPr>
                <w:noProof/>
                <w:webHidden/>
              </w:rPr>
              <w:fldChar w:fldCharType="begin"/>
            </w:r>
            <w:r>
              <w:rPr>
                <w:noProof/>
                <w:webHidden/>
              </w:rPr>
              <w:instrText xml:space="preserve"> PAGEREF _Toc115178825 \h </w:instrText>
            </w:r>
            <w:r>
              <w:rPr>
                <w:noProof/>
                <w:webHidden/>
              </w:rPr>
            </w:r>
            <w:r>
              <w:rPr>
                <w:noProof/>
                <w:webHidden/>
              </w:rPr>
              <w:fldChar w:fldCharType="separate"/>
            </w:r>
            <w:r w:rsidR="009202F4">
              <w:rPr>
                <w:noProof/>
                <w:webHidden/>
              </w:rPr>
              <w:t>8</w:t>
            </w:r>
            <w:r>
              <w:rPr>
                <w:noProof/>
                <w:webHidden/>
              </w:rPr>
              <w:fldChar w:fldCharType="end"/>
            </w:r>
          </w:hyperlink>
        </w:p>
        <w:p w14:paraId="4C2E0C9C" w14:textId="6C923028" w:rsidR="005A15BD" w:rsidRDefault="005A15BD">
          <w:pPr>
            <w:pStyle w:val="TOC1"/>
            <w:tabs>
              <w:tab w:val="right" w:leader="dot" w:pos="14390"/>
            </w:tabs>
            <w:rPr>
              <w:rFonts w:asciiTheme="minorHAnsi" w:hAnsiTheme="minorHAnsi"/>
              <w:noProof/>
            </w:rPr>
          </w:pPr>
          <w:hyperlink w:anchor="_Toc115178826" w:history="1">
            <w:r w:rsidRPr="00356D3E">
              <w:rPr>
                <w:rStyle w:val="Hyperlink"/>
                <w:noProof/>
              </w:rPr>
              <w:t>Urinary Catheter</w:t>
            </w:r>
            <w:r>
              <w:rPr>
                <w:noProof/>
                <w:webHidden/>
              </w:rPr>
              <w:tab/>
            </w:r>
            <w:r>
              <w:rPr>
                <w:noProof/>
                <w:webHidden/>
              </w:rPr>
              <w:fldChar w:fldCharType="begin"/>
            </w:r>
            <w:r>
              <w:rPr>
                <w:noProof/>
                <w:webHidden/>
              </w:rPr>
              <w:instrText xml:space="preserve"> PAGEREF _Toc115178826 \h </w:instrText>
            </w:r>
            <w:r>
              <w:rPr>
                <w:noProof/>
                <w:webHidden/>
              </w:rPr>
            </w:r>
            <w:r>
              <w:rPr>
                <w:noProof/>
                <w:webHidden/>
              </w:rPr>
              <w:fldChar w:fldCharType="separate"/>
            </w:r>
            <w:r w:rsidR="009202F4">
              <w:rPr>
                <w:noProof/>
                <w:webHidden/>
              </w:rPr>
              <w:t>8</w:t>
            </w:r>
            <w:r>
              <w:rPr>
                <w:noProof/>
                <w:webHidden/>
              </w:rPr>
              <w:fldChar w:fldCharType="end"/>
            </w:r>
          </w:hyperlink>
        </w:p>
        <w:p w14:paraId="1DA69C5C" w14:textId="3C549291" w:rsidR="005A15BD" w:rsidRDefault="005A15BD">
          <w:pPr>
            <w:pStyle w:val="TOC1"/>
            <w:tabs>
              <w:tab w:val="right" w:leader="dot" w:pos="14390"/>
            </w:tabs>
            <w:rPr>
              <w:rFonts w:asciiTheme="minorHAnsi" w:hAnsiTheme="minorHAnsi"/>
              <w:noProof/>
            </w:rPr>
          </w:pPr>
          <w:hyperlink w:anchor="_Toc115178827" w:history="1">
            <w:r w:rsidRPr="00356D3E">
              <w:rPr>
                <w:rStyle w:val="Hyperlink"/>
                <w:noProof/>
              </w:rPr>
              <w:t>Signs and Symptoms Related to UTI</w:t>
            </w:r>
            <w:r>
              <w:rPr>
                <w:noProof/>
                <w:webHidden/>
              </w:rPr>
              <w:tab/>
            </w:r>
            <w:r>
              <w:rPr>
                <w:noProof/>
                <w:webHidden/>
              </w:rPr>
              <w:fldChar w:fldCharType="begin"/>
            </w:r>
            <w:r>
              <w:rPr>
                <w:noProof/>
                <w:webHidden/>
              </w:rPr>
              <w:instrText xml:space="preserve"> PAGEREF _Toc115178827 \h </w:instrText>
            </w:r>
            <w:r>
              <w:rPr>
                <w:noProof/>
                <w:webHidden/>
              </w:rPr>
            </w:r>
            <w:r>
              <w:rPr>
                <w:noProof/>
                <w:webHidden/>
              </w:rPr>
              <w:fldChar w:fldCharType="separate"/>
            </w:r>
            <w:r w:rsidR="009202F4">
              <w:rPr>
                <w:noProof/>
                <w:webHidden/>
              </w:rPr>
              <w:t>9</w:t>
            </w:r>
            <w:r>
              <w:rPr>
                <w:noProof/>
                <w:webHidden/>
              </w:rPr>
              <w:fldChar w:fldCharType="end"/>
            </w:r>
          </w:hyperlink>
        </w:p>
        <w:p w14:paraId="1BC9272D" w14:textId="5218BF4F" w:rsidR="005A15BD" w:rsidRDefault="005A15BD">
          <w:pPr>
            <w:pStyle w:val="TOC1"/>
            <w:tabs>
              <w:tab w:val="right" w:leader="dot" w:pos="14390"/>
            </w:tabs>
            <w:rPr>
              <w:rFonts w:asciiTheme="minorHAnsi" w:hAnsiTheme="minorHAnsi"/>
              <w:noProof/>
            </w:rPr>
          </w:pPr>
          <w:hyperlink w:anchor="_Toc115178828" w:history="1">
            <w:r w:rsidRPr="00356D3E">
              <w:rPr>
                <w:rStyle w:val="Hyperlink"/>
                <w:noProof/>
              </w:rPr>
              <w:t>Micro Data</w:t>
            </w:r>
            <w:r>
              <w:rPr>
                <w:noProof/>
                <w:webHidden/>
              </w:rPr>
              <w:tab/>
            </w:r>
            <w:r>
              <w:rPr>
                <w:noProof/>
                <w:webHidden/>
              </w:rPr>
              <w:fldChar w:fldCharType="begin"/>
            </w:r>
            <w:r>
              <w:rPr>
                <w:noProof/>
                <w:webHidden/>
              </w:rPr>
              <w:instrText xml:space="preserve"> PAGEREF _Toc115178828 \h </w:instrText>
            </w:r>
            <w:r>
              <w:rPr>
                <w:noProof/>
                <w:webHidden/>
              </w:rPr>
            </w:r>
            <w:r>
              <w:rPr>
                <w:noProof/>
                <w:webHidden/>
              </w:rPr>
              <w:fldChar w:fldCharType="separate"/>
            </w:r>
            <w:r w:rsidR="009202F4">
              <w:rPr>
                <w:noProof/>
                <w:webHidden/>
              </w:rPr>
              <w:t>10</w:t>
            </w:r>
            <w:r>
              <w:rPr>
                <w:noProof/>
                <w:webHidden/>
              </w:rPr>
              <w:fldChar w:fldCharType="end"/>
            </w:r>
          </w:hyperlink>
        </w:p>
        <w:p w14:paraId="0EF0B434" w14:textId="5A6DB280" w:rsidR="005A15BD" w:rsidRDefault="005A15BD">
          <w:pPr>
            <w:pStyle w:val="TOC1"/>
            <w:tabs>
              <w:tab w:val="right" w:leader="dot" w:pos="14390"/>
            </w:tabs>
            <w:rPr>
              <w:rFonts w:asciiTheme="minorHAnsi" w:hAnsiTheme="minorHAnsi"/>
              <w:noProof/>
            </w:rPr>
          </w:pPr>
          <w:hyperlink w:anchor="_Toc115178829" w:history="1">
            <w:r w:rsidRPr="00356D3E">
              <w:rPr>
                <w:rStyle w:val="Hyperlink"/>
                <w:noProof/>
              </w:rPr>
              <w:t>Antibiotic Information</w:t>
            </w:r>
            <w:r>
              <w:rPr>
                <w:noProof/>
                <w:webHidden/>
              </w:rPr>
              <w:tab/>
            </w:r>
            <w:r>
              <w:rPr>
                <w:noProof/>
                <w:webHidden/>
              </w:rPr>
              <w:fldChar w:fldCharType="begin"/>
            </w:r>
            <w:r>
              <w:rPr>
                <w:noProof/>
                <w:webHidden/>
              </w:rPr>
              <w:instrText xml:space="preserve"> PAGEREF _Toc115178829 \h </w:instrText>
            </w:r>
            <w:r>
              <w:rPr>
                <w:noProof/>
                <w:webHidden/>
              </w:rPr>
            </w:r>
            <w:r>
              <w:rPr>
                <w:noProof/>
                <w:webHidden/>
              </w:rPr>
              <w:fldChar w:fldCharType="separate"/>
            </w:r>
            <w:r w:rsidR="009202F4">
              <w:rPr>
                <w:noProof/>
                <w:webHidden/>
              </w:rPr>
              <w:t>10</w:t>
            </w:r>
            <w:r>
              <w:rPr>
                <w:noProof/>
                <w:webHidden/>
              </w:rPr>
              <w:fldChar w:fldCharType="end"/>
            </w:r>
          </w:hyperlink>
        </w:p>
        <w:p w14:paraId="433DF3FA" w14:textId="022C9D22" w:rsidR="005A15BD" w:rsidRDefault="005A15BD">
          <w:pPr>
            <w:pStyle w:val="TOC2"/>
            <w:tabs>
              <w:tab w:val="right" w:leader="dot" w:pos="14390"/>
            </w:tabs>
            <w:rPr>
              <w:rFonts w:asciiTheme="minorHAnsi" w:hAnsiTheme="minorHAnsi"/>
              <w:noProof/>
            </w:rPr>
          </w:pPr>
          <w:hyperlink w:anchor="_Toc115178830" w:history="1">
            <w:r w:rsidRPr="00356D3E">
              <w:rPr>
                <w:rStyle w:val="Hyperlink"/>
                <w:noProof/>
              </w:rPr>
              <w:t>Total inpatient IV antibiotic days:</w:t>
            </w:r>
            <w:r>
              <w:rPr>
                <w:noProof/>
                <w:webHidden/>
              </w:rPr>
              <w:tab/>
            </w:r>
            <w:r>
              <w:rPr>
                <w:noProof/>
                <w:webHidden/>
              </w:rPr>
              <w:fldChar w:fldCharType="begin"/>
            </w:r>
            <w:r>
              <w:rPr>
                <w:noProof/>
                <w:webHidden/>
              </w:rPr>
              <w:instrText xml:space="preserve"> PAGEREF _Toc115178830 \h </w:instrText>
            </w:r>
            <w:r>
              <w:rPr>
                <w:noProof/>
                <w:webHidden/>
              </w:rPr>
            </w:r>
            <w:r>
              <w:rPr>
                <w:noProof/>
                <w:webHidden/>
              </w:rPr>
              <w:fldChar w:fldCharType="separate"/>
            </w:r>
            <w:r w:rsidR="009202F4">
              <w:rPr>
                <w:noProof/>
                <w:webHidden/>
              </w:rPr>
              <w:t>10</w:t>
            </w:r>
            <w:r>
              <w:rPr>
                <w:noProof/>
                <w:webHidden/>
              </w:rPr>
              <w:fldChar w:fldCharType="end"/>
            </w:r>
          </w:hyperlink>
        </w:p>
        <w:p w14:paraId="3AC5836E" w14:textId="5DFA6C13" w:rsidR="005A15BD" w:rsidRDefault="005A15BD">
          <w:pPr>
            <w:pStyle w:val="TOC2"/>
            <w:tabs>
              <w:tab w:val="right" w:leader="dot" w:pos="14390"/>
            </w:tabs>
            <w:rPr>
              <w:rFonts w:asciiTheme="minorHAnsi" w:hAnsiTheme="minorHAnsi"/>
              <w:noProof/>
            </w:rPr>
          </w:pPr>
          <w:hyperlink w:anchor="_Toc115178831" w:history="1">
            <w:r w:rsidRPr="00356D3E">
              <w:rPr>
                <w:rStyle w:val="Hyperlink"/>
                <w:noProof/>
              </w:rPr>
              <w:t>Total inpatient oral antibiotic days:</w:t>
            </w:r>
            <w:r>
              <w:rPr>
                <w:noProof/>
                <w:webHidden/>
              </w:rPr>
              <w:tab/>
            </w:r>
            <w:r>
              <w:rPr>
                <w:noProof/>
                <w:webHidden/>
              </w:rPr>
              <w:fldChar w:fldCharType="begin"/>
            </w:r>
            <w:r>
              <w:rPr>
                <w:noProof/>
                <w:webHidden/>
              </w:rPr>
              <w:instrText xml:space="preserve"> PAGEREF _Toc115178831 \h </w:instrText>
            </w:r>
            <w:r>
              <w:rPr>
                <w:noProof/>
                <w:webHidden/>
              </w:rPr>
            </w:r>
            <w:r>
              <w:rPr>
                <w:noProof/>
                <w:webHidden/>
              </w:rPr>
              <w:fldChar w:fldCharType="separate"/>
            </w:r>
            <w:r w:rsidR="009202F4">
              <w:rPr>
                <w:noProof/>
                <w:webHidden/>
              </w:rPr>
              <w:t>10</w:t>
            </w:r>
            <w:r>
              <w:rPr>
                <w:noProof/>
                <w:webHidden/>
              </w:rPr>
              <w:fldChar w:fldCharType="end"/>
            </w:r>
          </w:hyperlink>
        </w:p>
        <w:p w14:paraId="464FE2FC" w14:textId="063886F1" w:rsidR="005A15BD" w:rsidRDefault="005A15BD">
          <w:pPr>
            <w:pStyle w:val="TOC2"/>
            <w:tabs>
              <w:tab w:val="right" w:leader="dot" w:pos="14390"/>
            </w:tabs>
            <w:rPr>
              <w:rFonts w:asciiTheme="minorHAnsi" w:hAnsiTheme="minorHAnsi"/>
              <w:noProof/>
            </w:rPr>
          </w:pPr>
          <w:hyperlink w:anchor="_Toc115178832" w:history="1">
            <w:r w:rsidRPr="00356D3E">
              <w:rPr>
                <w:rStyle w:val="Hyperlink"/>
                <w:noProof/>
              </w:rPr>
              <w:t>Total inpatient days (IV + oral):</w:t>
            </w:r>
            <w:r>
              <w:rPr>
                <w:noProof/>
                <w:webHidden/>
              </w:rPr>
              <w:tab/>
            </w:r>
            <w:r>
              <w:rPr>
                <w:noProof/>
                <w:webHidden/>
              </w:rPr>
              <w:fldChar w:fldCharType="begin"/>
            </w:r>
            <w:r>
              <w:rPr>
                <w:noProof/>
                <w:webHidden/>
              </w:rPr>
              <w:instrText xml:space="preserve"> PAGEREF _Toc115178832 \h </w:instrText>
            </w:r>
            <w:r>
              <w:rPr>
                <w:noProof/>
                <w:webHidden/>
              </w:rPr>
            </w:r>
            <w:r>
              <w:rPr>
                <w:noProof/>
                <w:webHidden/>
              </w:rPr>
              <w:fldChar w:fldCharType="separate"/>
            </w:r>
            <w:r w:rsidR="009202F4">
              <w:rPr>
                <w:noProof/>
                <w:webHidden/>
              </w:rPr>
              <w:t>10</w:t>
            </w:r>
            <w:r>
              <w:rPr>
                <w:noProof/>
                <w:webHidden/>
              </w:rPr>
              <w:fldChar w:fldCharType="end"/>
            </w:r>
          </w:hyperlink>
        </w:p>
        <w:p w14:paraId="01C3B717" w14:textId="536C7236" w:rsidR="005A15BD" w:rsidRDefault="005A15BD">
          <w:pPr>
            <w:pStyle w:val="TOC2"/>
            <w:tabs>
              <w:tab w:val="right" w:leader="dot" w:pos="14390"/>
            </w:tabs>
            <w:rPr>
              <w:rFonts w:asciiTheme="minorHAnsi" w:hAnsiTheme="minorHAnsi"/>
              <w:noProof/>
            </w:rPr>
          </w:pPr>
          <w:hyperlink w:anchor="_Toc115178833" w:history="1">
            <w:r w:rsidRPr="00356D3E">
              <w:rPr>
                <w:rStyle w:val="Hyperlink"/>
                <w:noProof/>
              </w:rPr>
              <w:t>Total discharge antibiotic days:</w:t>
            </w:r>
            <w:r>
              <w:rPr>
                <w:noProof/>
                <w:webHidden/>
              </w:rPr>
              <w:tab/>
            </w:r>
            <w:r>
              <w:rPr>
                <w:noProof/>
                <w:webHidden/>
              </w:rPr>
              <w:fldChar w:fldCharType="begin"/>
            </w:r>
            <w:r>
              <w:rPr>
                <w:noProof/>
                <w:webHidden/>
              </w:rPr>
              <w:instrText xml:space="preserve"> PAGEREF _Toc115178833 \h </w:instrText>
            </w:r>
            <w:r>
              <w:rPr>
                <w:noProof/>
                <w:webHidden/>
              </w:rPr>
            </w:r>
            <w:r>
              <w:rPr>
                <w:noProof/>
                <w:webHidden/>
              </w:rPr>
              <w:fldChar w:fldCharType="separate"/>
            </w:r>
            <w:r w:rsidR="009202F4">
              <w:rPr>
                <w:noProof/>
                <w:webHidden/>
              </w:rPr>
              <w:t>10</w:t>
            </w:r>
            <w:r>
              <w:rPr>
                <w:noProof/>
                <w:webHidden/>
              </w:rPr>
              <w:fldChar w:fldCharType="end"/>
            </w:r>
          </w:hyperlink>
        </w:p>
        <w:p w14:paraId="4C53A327" w14:textId="2ED78642" w:rsidR="005A15BD" w:rsidRDefault="005A15BD">
          <w:pPr>
            <w:pStyle w:val="TOC2"/>
            <w:tabs>
              <w:tab w:val="right" w:leader="dot" w:pos="14390"/>
            </w:tabs>
            <w:rPr>
              <w:rFonts w:asciiTheme="minorHAnsi" w:hAnsiTheme="minorHAnsi"/>
              <w:noProof/>
            </w:rPr>
          </w:pPr>
          <w:hyperlink w:anchor="_Toc115178834" w:history="1">
            <w:r w:rsidRPr="00356D3E">
              <w:rPr>
                <w:rStyle w:val="Hyperlink"/>
                <w:noProof/>
              </w:rPr>
              <w:t>Total treatment antibiotic duration:</w:t>
            </w:r>
            <w:r>
              <w:rPr>
                <w:noProof/>
                <w:webHidden/>
              </w:rPr>
              <w:tab/>
            </w:r>
            <w:r>
              <w:rPr>
                <w:noProof/>
                <w:webHidden/>
              </w:rPr>
              <w:fldChar w:fldCharType="begin"/>
            </w:r>
            <w:r>
              <w:rPr>
                <w:noProof/>
                <w:webHidden/>
              </w:rPr>
              <w:instrText xml:space="preserve"> PAGEREF _Toc115178834 \h </w:instrText>
            </w:r>
            <w:r>
              <w:rPr>
                <w:noProof/>
                <w:webHidden/>
              </w:rPr>
            </w:r>
            <w:r>
              <w:rPr>
                <w:noProof/>
                <w:webHidden/>
              </w:rPr>
              <w:fldChar w:fldCharType="separate"/>
            </w:r>
            <w:r w:rsidR="009202F4">
              <w:rPr>
                <w:noProof/>
                <w:webHidden/>
              </w:rPr>
              <w:t>10</w:t>
            </w:r>
            <w:r>
              <w:rPr>
                <w:noProof/>
                <w:webHidden/>
              </w:rPr>
              <w:fldChar w:fldCharType="end"/>
            </w:r>
          </w:hyperlink>
        </w:p>
        <w:p w14:paraId="3FA6F90B" w14:textId="318C1AA3" w:rsidR="005A15BD" w:rsidRDefault="005A15BD">
          <w:pPr>
            <w:pStyle w:val="TOC2"/>
            <w:tabs>
              <w:tab w:val="right" w:leader="dot" w:pos="14390"/>
            </w:tabs>
            <w:rPr>
              <w:rFonts w:asciiTheme="minorHAnsi" w:hAnsiTheme="minorHAnsi"/>
              <w:noProof/>
            </w:rPr>
          </w:pPr>
          <w:hyperlink w:anchor="_Toc115178835" w:history="1">
            <w:r w:rsidRPr="00356D3E">
              <w:rPr>
                <w:rStyle w:val="Hyperlink"/>
                <w:noProof/>
              </w:rPr>
              <w:t>Time abstractor finishes case review:</w:t>
            </w:r>
            <w:r>
              <w:rPr>
                <w:noProof/>
                <w:webHidden/>
              </w:rPr>
              <w:tab/>
            </w:r>
            <w:r>
              <w:rPr>
                <w:noProof/>
                <w:webHidden/>
              </w:rPr>
              <w:fldChar w:fldCharType="begin"/>
            </w:r>
            <w:r>
              <w:rPr>
                <w:noProof/>
                <w:webHidden/>
              </w:rPr>
              <w:instrText xml:space="preserve"> PAGEREF _Toc115178835 \h </w:instrText>
            </w:r>
            <w:r>
              <w:rPr>
                <w:noProof/>
                <w:webHidden/>
              </w:rPr>
            </w:r>
            <w:r>
              <w:rPr>
                <w:noProof/>
                <w:webHidden/>
              </w:rPr>
              <w:fldChar w:fldCharType="separate"/>
            </w:r>
            <w:r w:rsidR="009202F4">
              <w:rPr>
                <w:noProof/>
                <w:webHidden/>
              </w:rPr>
              <w:t>11</w:t>
            </w:r>
            <w:r>
              <w:rPr>
                <w:noProof/>
                <w:webHidden/>
              </w:rPr>
              <w:fldChar w:fldCharType="end"/>
            </w:r>
          </w:hyperlink>
        </w:p>
        <w:p w14:paraId="03ACFEBB" w14:textId="3A1A197F" w:rsidR="005A15BD" w:rsidRDefault="005A15BD">
          <w:pPr>
            <w:pStyle w:val="TOC2"/>
            <w:tabs>
              <w:tab w:val="right" w:leader="dot" w:pos="14390"/>
            </w:tabs>
            <w:rPr>
              <w:rFonts w:asciiTheme="minorHAnsi" w:hAnsiTheme="minorHAnsi"/>
              <w:noProof/>
            </w:rPr>
          </w:pPr>
          <w:hyperlink w:anchor="_Toc115178836" w:history="1">
            <w:r w:rsidRPr="00356D3E">
              <w:rPr>
                <w:rStyle w:val="Hyperlink"/>
                <w:noProof/>
              </w:rPr>
              <w:t>Total abstraction time:</w:t>
            </w:r>
            <w:r>
              <w:rPr>
                <w:noProof/>
                <w:webHidden/>
              </w:rPr>
              <w:tab/>
            </w:r>
            <w:r>
              <w:rPr>
                <w:noProof/>
                <w:webHidden/>
              </w:rPr>
              <w:fldChar w:fldCharType="begin"/>
            </w:r>
            <w:r>
              <w:rPr>
                <w:noProof/>
                <w:webHidden/>
              </w:rPr>
              <w:instrText xml:space="preserve"> PAGEREF _Toc115178836 \h </w:instrText>
            </w:r>
            <w:r>
              <w:rPr>
                <w:noProof/>
                <w:webHidden/>
              </w:rPr>
            </w:r>
            <w:r>
              <w:rPr>
                <w:noProof/>
                <w:webHidden/>
              </w:rPr>
              <w:fldChar w:fldCharType="separate"/>
            </w:r>
            <w:r w:rsidR="009202F4">
              <w:rPr>
                <w:noProof/>
                <w:webHidden/>
              </w:rPr>
              <w:t>11</w:t>
            </w:r>
            <w:r>
              <w:rPr>
                <w:noProof/>
                <w:webHidden/>
              </w:rPr>
              <w:fldChar w:fldCharType="end"/>
            </w:r>
          </w:hyperlink>
        </w:p>
        <w:p w14:paraId="1EB4F658" w14:textId="37797086" w:rsidR="005A15BD" w:rsidRDefault="005A15BD">
          <w:pPr>
            <w:pStyle w:val="TOC1"/>
            <w:tabs>
              <w:tab w:val="right" w:leader="dot" w:pos="14390"/>
            </w:tabs>
            <w:rPr>
              <w:rFonts w:asciiTheme="minorHAnsi" w:hAnsiTheme="minorHAnsi"/>
              <w:noProof/>
            </w:rPr>
          </w:pPr>
          <w:hyperlink w:anchor="_Toc115178837" w:history="1">
            <w:r w:rsidRPr="00356D3E">
              <w:rPr>
                <w:rStyle w:val="Hyperlink"/>
                <w:noProof/>
              </w:rPr>
              <w:t>Antibiotics</w:t>
            </w:r>
            <w:r>
              <w:rPr>
                <w:noProof/>
                <w:webHidden/>
              </w:rPr>
              <w:tab/>
            </w:r>
            <w:r>
              <w:rPr>
                <w:noProof/>
                <w:webHidden/>
              </w:rPr>
              <w:fldChar w:fldCharType="begin"/>
            </w:r>
            <w:r>
              <w:rPr>
                <w:noProof/>
                <w:webHidden/>
              </w:rPr>
              <w:instrText xml:space="preserve"> PAGEREF _Toc115178837 \h </w:instrText>
            </w:r>
            <w:r>
              <w:rPr>
                <w:noProof/>
                <w:webHidden/>
              </w:rPr>
            </w:r>
            <w:r>
              <w:rPr>
                <w:noProof/>
                <w:webHidden/>
              </w:rPr>
              <w:fldChar w:fldCharType="separate"/>
            </w:r>
            <w:r w:rsidR="009202F4">
              <w:rPr>
                <w:noProof/>
                <w:webHidden/>
              </w:rPr>
              <w:t>11</w:t>
            </w:r>
            <w:r>
              <w:rPr>
                <w:noProof/>
                <w:webHidden/>
              </w:rPr>
              <w:fldChar w:fldCharType="end"/>
            </w:r>
          </w:hyperlink>
        </w:p>
        <w:p w14:paraId="74D01A3F" w14:textId="1F5B6078" w:rsidR="00D64E56" w:rsidRDefault="00D64E56">
          <w:r w:rsidRPr="0060204A">
            <w:rPr>
              <w:b/>
              <w:bCs/>
              <w:noProof/>
              <w:sz w:val="20"/>
              <w:szCs w:val="20"/>
            </w:rPr>
            <w:fldChar w:fldCharType="end"/>
          </w:r>
        </w:p>
      </w:sdtContent>
    </w:sdt>
    <w:p w14:paraId="7C53A588" w14:textId="5577208F" w:rsidR="00D52956" w:rsidRDefault="00D52956" w:rsidP="005B208B">
      <w:pPr>
        <w:pStyle w:val="Heading1"/>
        <w:spacing w:before="120" w:after="60"/>
      </w:pPr>
      <w:bookmarkStart w:id="0" w:name="_Toc115178809"/>
      <w:r>
        <w:t>Link</w:t>
      </w:r>
      <w:r w:rsidR="005A15BD">
        <w:t xml:space="preserve"> to REDCap Abstraction Tool</w:t>
      </w:r>
      <w:bookmarkEnd w:id="0"/>
    </w:p>
    <w:p w14:paraId="5628ED7B" w14:textId="1CC50F18" w:rsidR="005A15BD" w:rsidRPr="005A15BD" w:rsidRDefault="005A15BD" w:rsidP="005A15BD">
      <w:r>
        <w:t xml:space="preserve">When you are ready to begin a case abstraction, you can locate the REDCap survey here: </w:t>
      </w:r>
      <w:hyperlink r:id="rId8" w:tgtFrame="_blank" w:history="1">
        <w:r>
          <w:rPr>
            <w:rStyle w:val="Hyperlink"/>
          </w:rPr>
          <w:t>https://redcap.link/Case_Abstraction_Form</w:t>
        </w:r>
      </w:hyperlink>
      <w:r>
        <w:rPr>
          <w:color w:val="E03E2D"/>
        </w:rPr>
        <w:t xml:space="preserve"> </w:t>
      </w:r>
    </w:p>
    <w:p w14:paraId="1E102AD5" w14:textId="37636CDA" w:rsidR="009E5A02" w:rsidRDefault="009E5A02" w:rsidP="005B208B">
      <w:pPr>
        <w:pStyle w:val="Heading1"/>
        <w:spacing w:before="120" w:after="60"/>
      </w:pPr>
      <w:bookmarkStart w:id="1" w:name="_Toc115178810"/>
      <w:r>
        <w:t>Hospital</w:t>
      </w:r>
      <w:bookmarkEnd w:id="1"/>
    </w:p>
    <w:p w14:paraId="721D263E" w14:textId="778BE154" w:rsidR="009E5A02" w:rsidRDefault="009E5A02" w:rsidP="009E5A02">
      <w:r>
        <w:t>Indicate your hospital by checking the appropriate box or by typing it in, if not listed.</w:t>
      </w:r>
    </w:p>
    <w:p w14:paraId="4C5044BB" w14:textId="2F671D5C" w:rsidR="009E5A02" w:rsidRDefault="009E5A02" w:rsidP="009E5A02">
      <w:pPr>
        <w:pStyle w:val="Heading1"/>
      </w:pPr>
      <w:bookmarkStart w:id="2" w:name="_Toc115178811"/>
      <w:r>
        <w:t>Time Abstractor Begins Case Review</w:t>
      </w:r>
      <w:bookmarkEnd w:id="2"/>
    </w:p>
    <w:p w14:paraId="21DE1F27" w14:textId="322AF743" w:rsidR="009E5A02" w:rsidRDefault="009E5A02" w:rsidP="009E5A02">
      <w:r>
        <w:t>Indicate the time of day the abstractor starts the case review.</w:t>
      </w:r>
    </w:p>
    <w:p w14:paraId="355C8448" w14:textId="1DA85BE0" w:rsidR="009E5A02" w:rsidRDefault="009E5A02" w:rsidP="009E5A02">
      <w:pPr>
        <w:pStyle w:val="Heading1"/>
      </w:pPr>
      <w:bookmarkStart w:id="3" w:name="_Toc115178812"/>
      <w:r>
        <w:t>Case Code</w:t>
      </w:r>
      <w:bookmarkEnd w:id="3"/>
    </w:p>
    <w:p w14:paraId="5ED95174" w14:textId="2A5C9AFA" w:rsidR="00A10D54" w:rsidRDefault="009E5A02" w:rsidP="009E5A02">
      <w:r>
        <w:t xml:space="preserve">The case code is a </w:t>
      </w:r>
      <w:r w:rsidR="00B62D9B">
        <w:t>5-digit</w:t>
      </w:r>
      <w:r>
        <w:t xml:space="preserve"> numerical identifier to be used in lieu of MRN</w:t>
      </w:r>
      <w:r w:rsidR="0046734F">
        <w:t xml:space="preserve"> to protect patient privacy</w:t>
      </w:r>
      <w:r>
        <w:t>, e.g., 00001, 00002, etc. Each hospital should maintain a key that links each case code with the corresponding MRN to allow for auditing case reviews</w:t>
      </w:r>
      <w:r w:rsidR="0046734F">
        <w:t xml:space="preserve"> in the future</w:t>
      </w:r>
      <w:r>
        <w:t xml:space="preserve">. </w:t>
      </w:r>
    </w:p>
    <w:p w14:paraId="3DB237CC" w14:textId="77777777" w:rsidR="00A10D54" w:rsidRDefault="00A10D54">
      <w:r>
        <w:br w:type="page"/>
      </w:r>
    </w:p>
    <w:p w14:paraId="10062D18" w14:textId="3BAE055A" w:rsidR="00CD6481" w:rsidRPr="005B208B" w:rsidRDefault="00CD6481" w:rsidP="005B208B">
      <w:pPr>
        <w:pStyle w:val="Heading1"/>
        <w:spacing w:before="120" w:after="60"/>
      </w:pPr>
      <w:bookmarkStart w:id="4" w:name="_Toc115178813"/>
      <w:r w:rsidRPr="005B208B">
        <w:lastRenderedPageBreak/>
        <w:t>Inclusion Criteria</w:t>
      </w:r>
      <w:bookmarkEnd w:id="4"/>
      <w:r w:rsidRPr="005B208B">
        <w:t xml:space="preserve"> </w:t>
      </w:r>
    </w:p>
    <w:p w14:paraId="58877830" w14:textId="656D944D" w:rsidR="005B208B" w:rsidRPr="005B208B" w:rsidRDefault="00EB3C3F" w:rsidP="005B208B">
      <w:r w:rsidRPr="005B208B">
        <w:t xml:space="preserve">The </w:t>
      </w:r>
      <w:r w:rsidR="009E5A02">
        <w:t>first</w:t>
      </w:r>
      <w:r w:rsidRPr="005B208B">
        <w:t xml:space="preserve"> step </w:t>
      </w:r>
      <w:r w:rsidR="004B6E81" w:rsidRPr="005B208B">
        <w:t>is</w:t>
      </w:r>
      <w:r w:rsidRPr="005B208B">
        <w:t xml:space="preserve"> ensuring that patients </w:t>
      </w:r>
      <w:r w:rsidR="000F2E02" w:rsidRPr="005B208B">
        <w:t xml:space="preserve">meet inclusion criteria. There are </w:t>
      </w:r>
      <w:r w:rsidR="009E5A02">
        <w:t>seven</w:t>
      </w:r>
      <w:r w:rsidR="000F2E02" w:rsidRPr="005B208B">
        <w:t xml:space="preserve"> key factors that should be reviewed at this time. </w:t>
      </w:r>
      <w:r w:rsidR="009E5A02">
        <w:t>Note: It may be possible</w:t>
      </w:r>
      <w:r w:rsidR="0046734F">
        <w:t xml:space="preserve"> through your electronic health record to automatically remove some of these patients (e.g., by age, service</w:t>
      </w:r>
      <w:r w:rsidR="009E5A02">
        <w:t xml:space="preserve"> to reduce </w:t>
      </w:r>
      <w:r w:rsidR="0046734F">
        <w:t>the need for manual exclusion</w:t>
      </w:r>
      <w:r w:rsidR="009E5A02">
        <w:t>.</w:t>
      </w:r>
    </w:p>
    <w:tbl>
      <w:tblPr>
        <w:tblStyle w:val="TableGrid"/>
        <w:tblW w:w="0" w:type="auto"/>
        <w:tblLook w:val="04A0" w:firstRow="1" w:lastRow="0" w:firstColumn="1" w:lastColumn="0" w:noHBand="0" w:noVBand="1"/>
      </w:tblPr>
      <w:tblGrid>
        <w:gridCol w:w="4135"/>
        <w:gridCol w:w="10255"/>
      </w:tblGrid>
      <w:tr w:rsidR="005B208B" w:rsidRPr="005B208B" w14:paraId="42B33EFF" w14:textId="77777777" w:rsidTr="00532553">
        <w:trPr>
          <w:cantSplit/>
          <w:trHeight w:val="519"/>
          <w:tblHeader/>
        </w:trPr>
        <w:tc>
          <w:tcPr>
            <w:tcW w:w="4135" w:type="dxa"/>
            <w:hideMark/>
          </w:tcPr>
          <w:p w14:paraId="5AB8A77B" w14:textId="7FBB6664" w:rsidR="005B208B" w:rsidRPr="005B208B" w:rsidRDefault="00674A0A" w:rsidP="005B208B">
            <w:pPr>
              <w:pStyle w:val="Heading2"/>
              <w:outlineLvl w:val="1"/>
            </w:pPr>
            <w:bookmarkStart w:id="5" w:name="_Toc114128055"/>
            <w:bookmarkStart w:id="6" w:name="_Toc115178814"/>
            <w:r w:rsidRPr="005B208B">
              <w:t>Criterion</w:t>
            </w:r>
            <w:bookmarkEnd w:id="5"/>
            <w:bookmarkEnd w:id="6"/>
          </w:p>
        </w:tc>
        <w:tc>
          <w:tcPr>
            <w:tcW w:w="10255" w:type="dxa"/>
            <w:hideMark/>
          </w:tcPr>
          <w:p w14:paraId="78FDFBD6" w14:textId="77777777" w:rsidR="005B208B" w:rsidRPr="005B208B" w:rsidRDefault="005B208B">
            <w:pPr>
              <w:rPr>
                <w:rFonts w:cs="Arial"/>
                <w:b/>
                <w:bCs/>
              </w:rPr>
            </w:pPr>
            <w:r w:rsidRPr="005B208B">
              <w:rPr>
                <w:rFonts w:cs="Arial"/>
                <w:b/>
                <w:bCs/>
              </w:rPr>
              <w:t>Operationalized Definition</w:t>
            </w:r>
          </w:p>
        </w:tc>
      </w:tr>
      <w:tr w:rsidR="005B208B" w:rsidRPr="005B208B" w14:paraId="2666D4F3" w14:textId="77777777" w:rsidTr="005B208B">
        <w:trPr>
          <w:trHeight w:val="312"/>
        </w:trPr>
        <w:tc>
          <w:tcPr>
            <w:tcW w:w="4135" w:type="dxa"/>
            <w:noWrap/>
            <w:hideMark/>
          </w:tcPr>
          <w:p w14:paraId="71849905" w14:textId="52BEB4EB" w:rsidR="005B208B" w:rsidRPr="005B208B" w:rsidRDefault="005B208B">
            <w:pPr>
              <w:rPr>
                <w:rFonts w:cs="Arial"/>
              </w:rPr>
            </w:pPr>
            <w:r w:rsidRPr="005B208B">
              <w:rPr>
                <w:rFonts w:cs="Arial"/>
              </w:rPr>
              <w:t>Adult</w:t>
            </w:r>
          </w:p>
        </w:tc>
        <w:tc>
          <w:tcPr>
            <w:tcW w:w="10255" w:type="dxa"/>
            <w:noWrap/>
            <w:hideMark/>
          </w:tcPr>
          <w:p w14:paraId="06EF5399" w14:textId="6D6FAB75" w:rsidR="005B208B" w:rsidRPr="005B208B" w:rsidRDefault="005B208B">
            <w:pPr>
              <w:rPr>
                <w:rFonts w:cs="Arial"/>
              </w:rPr>
            </w:pPr>
            <w:r w:rsidRPr="005B208B">
              <w:rPr>
                <w:rFonts w:cs="Arial"/>
              </w:rPr>
              <w:t>Age &gt;/= 18 years</w:t>
            </w:r>
            <w:r w:rsidR="00F4566F">
              <w:rPr>
                <w:rFonts w:cs="Arial"/>
              </w:rPr>
              <w:t xml:space="preserve"> on admission</w:t>
            </w:r>
          </w:p>
        </w:tc>
      </w:tr>
      <w:tr w:rsidR="005B208B" w:rsidRPr="005B208B" w14:paraId="321DBEC5" w14:textId="77777777" w:rsidTr="000178D6">
        <w:trPr>
          <w:trHeight w:val="179"/>
        </w:trPr>
        <w:tc>
          <w:tcPr>
            <w:tcW w:w="4135" w:type="dxa"/>
            <w:vMerge w:val="restart"/>
            <w:noWrap/>
            <w:hideMark/>
          </w:tcPr>
          <w:p w14:paraId="520422E0" w14:textId="77777777" w:rsidR="005B208B" w:rsidRPr="005B208B" w:rsidRDefault="005B208B">
            <w:pPr>
              <w:rPr>
                <w:rFonts w:cs="Arial"/>
              </w:rPr>
            </w:pPr>
            <w:r w:rsidRPr="005B208B">
              <w:rPr>
                <w:rFonts w:cs="Arial"/>
              </w:rPr>
              <w:t>Positive urine culture</w:t>
            </w:r>
          </w:p>
        </w:tc>
        <w:tc>
          <w:tcPr>
            <w:tcW w:w="10255" w:type="dxa"/>
            <w:hideMark/>
          </w:tcPr>
          <w:p w14:paraId="03BAD8D9" w14:textId="77777777" w:rsidR="005B208B" w:rsidRPr="005B208B" w:rsidRDefault="005B208B">
            <w:pPr>
              <w:rPr>
                <w:rFonts w:cs="Arial"/>
              </w:rPr>
            </w:pPr>
            <w:r w:rsidRPr="005B208B">
              <w:rPr>
                <w:rFonts w:cs="Arial"/>
              </w:rPr>
              <w:t xml:space="preserve">A positive urine culture is defined as those flagged as positive by the hospital's lab/institution.  </w:t>
            </w:r>
          </w:p>
        </w:tc>
      </w:tr>
      <w:tr w:rsidR="005B208B" w:rsidRPr="005B208B" w14:paraId="0424DC48" w14:textId="77777777" w:rsidTr="005B208B">
        <w:trPr>
          <w:trHeight w:val="300"/>
        </w:trPr>
        <w:tc>
          <w:tcPr>
            <w:tcW w:w="4135" w:type="dxa"/>
            <w:vMerge/>
            <w:hideMark/>
          </w:tcPr>
          <w:p w14:paraId="3A2C5F69" w14:textId="77777777" w:rsidR="005B208B" w:rsidRPr="005B208B" w:rsidRDefault="005B208B">
            <w:pPr>
              <w:rPr>
                <w:rFonts w:cs="Arial"/>
              </w:rPr>
            </w:pPr>
          </w:p>
        </w:tc>
        <w:tc>
          <w:tcPr>
            <w:tcW w:w="10255" w:type="dxa"/>
            <w:hideMark/>
          </w:tcPr>
          <w:p w14:paraId="535522CC" w14:textId="68E6FA77" w:rsidR="005B208B" w:rsidRPr="005B208B" w:rsidRDefault="0046734F">
            <w:pPr>
              <w:rPr>
                <w:rFonts w:cs="Arial"/>
              </w:rPr>
            </w:pPr>
            <w:r>
              <w:rPr>
                <w:rFonts w:cs="Arial"/>
              </w:rPr>
              <w:t xml:space="preserve">Do not consider the urine culture “positive” if the ONLY organism </w:t>
            </w:r>
            <w:r w:rsidR="005B208B" w:rsidRPr="005B208B">
              <w:rPr>
                <w:rFonts w:cs="Arial"/>
              </w:rPr>
              <w:t xml:space="preserve">listed in </w:t>
            </w:r>
            <w:r>
              <w:rPr>
                <w:rFonts w:cs="Arial"/>
              </w:rPr>
              <w:t>aspergillus or candida</w:t>
            </w:r>
          </w:p>
        </w:tc>
      </w:tr>
      <w:tr w:rsidR="005B208B" w:rsidRPr="005B208B" w14:paraId="07A94DC6" w14:textId="77777777" w:rsidTr="005B208B">
        <w:trPr>
          <w:trHeight w:val="708"/>
        </w:trPr>
        <w:tc>
          <w:tcPr>
            <w:tcW w:w="4135" w:type="dxa"/>
            <w:vMerge w:val="restart"/>
            <w:hideMark/>
          </w:tcPr>
          <w:p w14:paraId="1523666A" w14:textId="77777777" w:rsidR="005B208B" w:rsidRPr="005B208B" w:rsidRDefault="005B208B">
            <w:pPr>
              <w:rPr>
                <w:rFonts w:cs="Arial"/>
              </w:rPr>
            </w:pPr>
            <w:r w:rsidRPr="005B208B">
              <w:rPr>
                <w:rFonts w:cs="Arial"/>
              </w:rPr>
              <w:t>Admitted to a non-ICU medicine service</w:t>
            </w:r>
          </w:p>
        </w:tc>
        <w:tc>
          <w:tcPr>
            <w:tcW w:w="10255" w:type="dxa"/>
            <w:hideMark/>
          </w:tcPr>
          <w:p w14:paraId="0A1CA317" w14:textId="45032C2D" w:rsidR="005B208B" w:rsidRPr="005B208B" w:rsidRDefault="005B208B">
            <w:pPr>
              <w:rPr>
                <w:rFonts w:cs="Arial"/>
              </w:rPr>
            </w:pPr>
            <w:r w:rsidRPr="005B208B">
              <w:rPr>
                <w:rFonts w:cs="Arial"/>
              </w:rPr>
              <w:t>Medicine service includes family medicine, hospital medicine, general medicine, or any medicine subspecialty</w:t>
            </w:r>
            <w:r w:rsidR="0046734F">
              <w:rPr>
                <w:rFonts w:cs="Arial"/>
              </w:rPr>
              <w:t xml:space="preserve"> (e.g., cardiology)</w:t>
            </w:r>
            <w:r w:rsidRPr="005B208B">
              <w:rPr>
                <w:rFonts w:cs="Arial"/>
              </w:rPr>
              <w:t xml:space="preserve">; does not include patients admitted to any ICU, surgical service, OB/GYN, etc. </w:t>
            </w:r>
          </w:p>
        </w:tc>
      </w:tr>
      <w:tr w:rsidR="005B208B" w:rsidRPr="005B208B" w14:paraId="35A67B01" w14:textId="77777777" w:rsidTr="000178D6">
        <w:trPr>
          <w:trHeight w:val="422"/>
        </w:trPr>
        <w:tc>
          <w:tcPr>
            <w:tcW w:w="4135" w:type="dxa"/>
            <w:vMerge/>
            <w:hideMark/>
          </w:tcPr>
          <w:p w14:paraId="0519630D" w14:textId="77777777" w:rsidR="005B208B" w:rsidRPr="005B208B" w:rsidRDefault="005B208B">
            <w:pPr>
              <w:rPr>
                <w:rFonts w:cs="Arial"/>
              </w:rPr>
            </w:pPr>
          </w:p>
        </w:tc>
        <w:tc>
          <w:tcPr>
            <w:tcW w:w="10255" w:type="dxa"/>
            <w:hideMark/>
          </w:tcPr>
          <w:p w14:paraId="39F98D17" w14:textId="77408578" w:rsidR="005B208B" w:rsidRPr="005B208B" w:rsidRDefault="005B208B">
            <w:pPr>
              <w:rPr>
                <w:rFonts w:cs="Arial"/>
              </w:rPr>
            </w:pPr>
            <w:r w:rsidRPr="005B208B">
              <w:rPr>
                <w:rFonts w:cs="Arial"/>
              </w:rPr>
              <w:t>EXCLUDE: Patients transferred from another hospital</w:t>
            </w:r>
            <w:r w:rsidR="0046734F">
              <w:rPr>
                <w:rFonts w:cs="Arial"/>
              </w:rPr>
              <w:t xml:space="preserve"> </w:t>
            </w:r>
            <w:r w:rsidRPr="005B208B">
              <w:rPr>
                <w:rFonts w:cs="Arial"/>
              </w:rPr>
              <w:t>or from another inpatient unit (e.g., inpatient psych, inpatient rehab).</w:t>
            </w:r>
          </w:p>
        </w:tc>
      </w:tr>
      <w:tr w:rsidR="005B208B" w:rsidRPr="005B208B" w14:paraId="5A284A00" w14:textId="77777777" w:rsidTr="005B208B">
        <w:trPr>
          <w:trHeight w:val="360"/>
        </w:trPr>
        <w:tc>
          <w:tcPr>
            <w:tcW w:w="4135" w:type="dxa"/>
            <w:vMerge/>
            <w:hideMark/>
          </w:tcPr>
          <w:p w14:paraId="4EC9B26C" w14:textId="77777777" w:rsidR="005B208B" w:rsidRPr="005B208B" w:rsidRDefault="005B208B">
            <w:pPr>
              <w:rPr>
                <w:rFonts w:cs="Arial"/>
              </w:rPr>
            </w:pPr>
          </w:p>
        </w:tc>
        <w:tc>
          <w:tcPr>
            <w:tcW w:w="10255" w:type="dxa"/>
            <w:hideMark/>
          </w:tcPr>
          <w:p w14:paraId="2ACECA01" w14:textId="77777777" w:rsidR="005B208B" w:rsidRPr="005B208B" w:rsidRDefault="005B208B">
            <w:pPr>
              <w:rPr>
                <w:rFonts w:cs="Arial"/>
              </w:rPr>
            </w:pPr>
            <w:r w:rsidRPr="005B208B">
              <w:rPr>
                <w:rFonts w:cs="Arial"/>
              </w:rPr>
              <w:t>INCLUDE: Patients transferred from emergency department to emergency department (ED to ED).</w:t>
            </w:r>
          </w:p>
        </w:tc>
      </w:tr>
      <w:tr w:rsidR="005B208B" w:rsidRPr="005B208B" w14:paraId="5D42951F" w14:textId="77777777" w:rsidTr="000D79F7">
        <w:trPr>
          <w:trHeight w:val="852"/>
        </w:trPr>
        <w:tc>
          <w:tcPr>
            <w:tcW w:w="4135" w:type="dxa"/>
            <w:hideMark/>
          </w:tcPr>
          <w:p w14:paraId="56ABC055" w14:textId="66D9E059" w:rsidR="005B208B" w:rsidRPr="005B208B" w:rsidRDefault="001F4CBE">
            <w:pPr>
              <w:rPr>
                <w:rFonts w:cs="Arial"/>
              </w:rPr>
            </w:pPr>
            <w:r w:rsidRPr="001F4CBE">
              <w:rPr>
                <w:rFonts w:cs="Arial"/>
              </w:rPr>
              <w:t>Received any antibiotic intended to treat UTI during the symptom collection window (day -1, 0, 1, 2, where day 0 = day first positive urine culture was collected)</w:t>
            </w:r>
          </w:p>
        </w:tc>
        <w:tc>
          <w:tcPr>
            <w:tcW w:w="10255" w:type="dxa"/>
            <w:shd w:val="clear" w:color="auto" w:fill="auto"/>
            <w:noWrap/>
            <w:hideMark/>
          </w:tcPr>
          <w:p w14:paraId="15FE7105" w14:textId="3385BDCA" w:rsidR="005B208B" w:rsidRPr="000D79F7" w:rsidRDefault="000D79F7">
            <w:pPr>
              <w:rPr>
                <w:rFonts w:cs="Arial"/>
              </w:rPr>
            </w:pPr>
            <w:r>
              <w:rPr>
                <w:rFonts w:cs="Arial"/>
              </w:rPr>
              <w:t>Select from</w:t>
            </w:r>
            <w:r w:rsidR="005B208B" w:rsidRPr="000D79F7">
              <w:rPr>
                <w:rFonts w:cs="Arial"/>
              </w:rPr>
              <w:t xml:space="preserve"> Antibiotic</w:t>
            </w:r>
            <w:r w:rsidR="001F4CBE">
              <w:rPr>
                <w:rFonts w:cs="Arial"/>
              </w:rPr>
              <w:t xml:space="preserve"> choices listed </w:t>
            </w:r>
            <w:r>
              <w:rPr>
                <w:rFonts w:cs="Arial"/>
              </w:rPr>
              <w:t>in REDCap abstraction form</w:t>
            </w:r>
            <w:r w:rsidR="001F4CBE">
              <w:rPr>
                <w:rFonts w:cs="Arial"/>
              </w:rPr>
              <w:t xml:space="preserve"> (IV and oral antibiotics are also listed in this document, in </w:t>
            </w:r>
            <w:r w:rsidR="001F4CBE" w:rsidRPr="009202F4">
              <w:rPr>
                <w:rFonts w:cs="Arial"/>
                <w:b/>
                <w:bCs/>
              </w:rPr>
              <w:t xml:space="preserve">Antibiotics </w:t>
            </w:r>
            <w:r w:rsidR="001F4CBE">
              <w:rPr>
                <w:rFonts w:cs="Arial"/>
              </w:rPr>
              <w:t>section)</w:t>
            </w:r>
          </w:p>
        </w:tc>
      </w:tr>
      <w:tr w:rsidR="005B208B" w:rsidRPr="005B208B" w14:paraId="73646D6E" w14:textId="77777777" w:rsidTr="005B208B">
        <w:trPr>
          <w:trHeight w:val="432"/>
        </w:trPr>
        <w:tc>
          <w:tcPr>
            <w:tcW w:w="4135" w:type="dxa"/>
            <w:vMerge w:val="restart"/>
            <w:hideMark/>
          </w:tcPr>
          <w:p w14:paraId="5E5FAAF7" w14:textId="77777777" w:rsidR="005B208B" w:rsidRPr="005B208B" w:rsidRDefault="005B208B">
            <w:pPr>
              <w:rPr>
                <w:rFonts w:cs="Arial"/>
              </w:rPr>
            </w:pPr>
            <w:bookmarkStart w:id="7" w:name="_Hlk115168605"/>
            <w:bookmarkStart w:id="8" w:name="_Hlk115168638"/>
            <w:r w:rsidRPr="005B208B">
              <w:rPr>
                <w:rFonts w:cs="Arial"/>
              </w:rPr>
              <w:t>Immunocompetent or only mild immune compromise</w:t>
            </w:r>
            <w:bookmarkEnd w:id="7"/>
          </w:p>
        </w:tc>
        <w:tc>
          <w:tcPr>
            <w:tcW w:w="10255" w:type="dxa"/>
            <w:hideMark/>
          </w:tcPr>
          <w:p w14:paraId="172EA45E" w14:textId="4D7ED497" w:rsidR="005B208B" w:rsidRPr="005B208B" w:rsidRDefault="005B208B">
            <w:pPr>
              <w:rPr>
                <w:rFonts w:cs="Arial"/>
              </w:rPr>
            </w:pPr>
            <w:r w:rsidRPr="005B208B">
              <w:rPr>
                <w:rFonts w:cs="Arial"/>
              </w:rPr>
              <w:t xml:space="preserve">Patients are </w:t>
            </w:r>
            <w:r>
              <w:rPr>
                <w:rFonts w:cs="Arial"/>
              </w:rPr>
              <w:t>NOT</w:t>
            </w:r>
            <w:r w:rsidRPr="005B208B">
              <w:rPr>
                <w:rFonts w:cs="Arial"/>
              </w:rPr>
              <w:t xml:space="preserve"> considered immunocompetent or having only mild immune compromise</w:t>
            </w:r>
            <w:r w:rsidR="0046734F">
              <w:rPr>
                <w:rFonts w:cs="Arial"/>
              </w:rPr>
              <w:t xml:space="preserve"> (and thus excluded)</w:t>
            </w:r>
            <w:r w:rsidRPr="005B208B">
              <w:rPr>
                <w:rFonts w:cs="Arial"/>
              </w:rPr>
              <w:t xml:space="preserve"> if any of the following are present</w:t>
            </w:r>
            <w:r>
              <w:rPr>
                <w:rFonts w:cs="Arial"/>
              </w:rPr>
              <w:t xml:space="preserve"> – Exclude if:</w:t>
            </w:r>
          </w:p>
        </w:tc>
      </w:tr>
      <w:tr w:rsidR="005B208B" w:rsidRPr="005B208B" w14:paraId="63110A74" w14:textId="77777777" w:rsidTr="005B208B">
        <w:trPr>
          <w:trHeight w:val="360"/>
        </w:trPr>
        <w:tc>
          <w:tcPr>
            <w:tcW w:w="4135" w:type="dxa"/>
            <w:vMerge/>
            <w:hideMark/>
          </w:tcPr>
          <w:p w14:paraId="6EC71982" w14:textId="77777777" w:rsidR="005B208B" w:rsidRPr="005B208B" w:rsidRDefault="005B208B">
            <w:pPr>
              <w:rPr>
                <w:rFonts w:cs="Arial"/>
              </w:rPr>
            </w:pPr>
          </w:p>
        </w:tc>
        <w:tc>
          <w:tcPr>
            <w:tcW w:w="10255" w:type="dxa"/>
            <w:hideMark/>
          </w:tcPr>
          <w:p w14:paraId="672A7680" w14:textId="0A9DCB73" w:rsidR="005B208B" w:rsidRPr="005B208B" w:rsidRDefault="005B208B" w:rsidP="005B208B">
            <w:pPr>
              <w:ind w:left="144"/>
              <w:rPr>
                <w:rFonts w:cs="Arial"/>
              </w:rPr>
            </w:pPr>
            <w:r w:rsidRPr="005B208B">
              <w:rPr>
                <w:rFonts w:cs="Arial"/>
              </w:rPr>
              <w:t xml:space="preserve">Patient has any history of </w:t>
            </w:r>
            <w:r>
              <w:rPr>
                <w:rFonts w:cs="Arial"/>
              </w:rPr>
              <w:t>transplant, including</w:t>
            </w:r>
            <w:r w:rsidRPr="005B208B">
              <w:rPr>
                <w:rFonts w:cs="Arial"/>
              </w:rPr>
              <w:t xml:space="preserve"> heart, liver, kidney, lung, pancreas, bone marrow, stem cell, or hematopoietic stem cell transplant</w:t>
            </w:r>
          </w:p>
        </w:tc>
      </w:tr>
      <w:tr w:rsidR="005B208B" w:rsidRPr="005B208B" w14:paraId="1CD9B509" w14:textId="77777777" w:rsidTr="005B208B">
        <w:trPr>
          <w:trHeight w:val="360"/>
        </w:trPr>
        <w:tc>
          <w:tcPr>
            <w:tcW w:w="4135" w:type="dxa"/>
            <w:vMerge/>
            <w:hideMark/>
          </w:tcPr>
          <w:p w14:paraId="1FCAEAF2" w14:textId="77777777" w:rsidR="005B208B" w:rsidRPr="005B208B" w:rsidRDefault="005B208B">
            <w:pPr>
              <w:rPr>
                <w:rFonts w:cs="Arial"/>
              </w:rPr>
            </w:pPr>
          </w:p>
        </w:tc>
        <w:tc>
          <w:tcPr>
            <w:tcW w:w="10255" w:type="dxa"/>
            <w:hideMark/>
          </w:tcPr>
          <w:p w14:paraId="46A4017B" w14:textId="58EB0A9D" w:rsidR="005B208B" w:rsidRPr="005B208B" w:rsidRDefault="005B208B" w:rsidP="005B208B">
            <w:pPr>
              <w:ind w:left="144"/>
              <w:rPr>
                <w:rFonts w:cs="Arial"/>
              </w:rPr>
            </w:pPr>
            <w:r w:rsidRPr="005B208B">
              <w:rPr>
                <w:rFonts w:cs="Arial"/>
              </w:rPr>
              <w:t>AIDS: Patient has a diagnosis of HIV with CD4 count &lt;200 cells/mm3 on admission or within the 90 days prior to the hospital encounter</w:t>
            </w:r>
          </w:p>
        </w:tc>
      </w:tr>
      <w:tr w:rsidR="005B208B" w:rsidRPr="005B208B" w14:paraId="4FE50130" w14:textId="77777777" w:rsidTr="000178D6">
        <w:trPr>
          <w:trHeight w:val="519"/>
        </w:trPr>
        <w:tc>
          <w:tcPr>
            <w:tcW w:w="4135" w:type="dxa"/>
            <w:vMerge/>
            <w:hideMark/>
          </w:tcPr>
          <w:p w14:paraId="6702DC94" w14:textId="77777777" w:rsidR="005B208B" w:rsidRPr="005B208B" w:rsidRDefault="005B208B">
            <w:pPr>
              <w:rPr>
                <w:rFonts w:cs="Arial"/>
              </w:rPr>
            </w:pPr>
          </w:p>
        </w:tc>
        <w:tc>
          <w:tcPr>
            <w:tcW w:w="10255" w:type="dxa"/>
            <w:shd w:val="clear" w:color="auto" w:fill="auto"/>
            <w:hideMark/>
          </w:tcPr>
          <w:p w14:paraId="73D51073" w14:textId="77777777" w:rsidR="005B208B" w:rsidRPr="000178D6" w:rsidRDefault="005B208B" w:rsidP="005B208B">
            <w:pPr>
              <w:ind w:left="288"/>
              <w:rPr>
                <w:rFonts w:cs="Arial"/>
              </w:rPr>
            </w:pPr>
            <w:r w:rsidRPr="000178D6">
              <w:rPr>
                <w:rFonts w:cs="Arial"/>
                <w:i/>
                <w:iCs/>
              </w:rPr>
              <w:t>Note1</w:t>
            </w:r>
            <w:r w:rsidRPr="000178D6">
              <w:rPr>
                <w:rFonts w:cs="Arial"/>
              </w:rPr>
              <w:t>: CD4 count can be found in the laboratory section. It can be part of an immunodeficiency panel and is labeled as absolute CD4 count.</w:t>
            </w:r>
          </w:p>
        </w:tc>
      </w:tr>
      <w:tr w:rsidR="005B208B" w:rsidRPr="005B208B" w14:paraId="0E3CDC33" w14:textId="77777777" w:rsidTr="000178D6">
        <w:trPr>
          <w:trHeight w:val="420"/>
        </w:trPr>
        <w:tc>
          <w:tcPr>
            <w:tcW w:w="4135" w:type="dxa"/>
            <w:vMerge/>
            <w:hideMark/>
          </w:tcPr>
          <w:p w14:paraId="1F6B808E" w14:textId="77777777" w:rsidR="005B208B" w:rsidRPr="005B208B" w:rsidRDefault="005B208B">
            <w:pPr>
              <w:rPr>
                <w:rFonts w:cs="Arial"/>
              </w:rPr>
            </w:pPr>
          </w:p>
        </w:tc>
        <w:tc>
          <w:tcPr>
            <w:tcW w:w="10255" w:type="dxa"/>
            <w:shd w:val="clear" w:color="auto" w:fill="auto"/>
            <w:hideMark/>
          </w:tcPr>
          <w:p w14:paraId="7A2F938F" w14:textId="7C60E891" w:rsidR="005B208B" w:rsidRPr="000178D6" w:rsidRDefault="005B208B" w:rsidP="005B208B">
            <w:pPr>
              <w:ind w:left="288"/>
              <w:rPr>
                <w:rFonts w:cs="Arial"/>
              </w:rPr>
            </w:pPr>
            <w:r w:rsidRPr="000178D6">
              <w:rPr>
                <w:rFonts w:cs="Arial"/>
                <w:i/>
                <w:iCs/>
              </w:rPr>
              <w:t>Note</w:t>
            </w:r>
            <w:r w:rsidR="009E5A02" w:rsidRPr="000178D6">
              <w:rPr>
                <w:rFonts w:cs="Arial"/>
                <w:i/>
                <w:iCs/>
              </w:rPr>
              <w:t xml:space="preserve"> </w:t>
            </w:r>
            <w:r w:rsidRPr="000178D6">
              <w:rPr>
                <w:rFonts w:cs="Arial"/>
                <w:i/>
                <w:iCs/>
              </w:rPr>
              <w:t>2</w:t>
            </w:r>
            <w:r w:rsidRPr="000178D6">
              <w:rPr>
                <w:rFonts w:cs="Arial"/>
              </w:rPr>
              <w:t>: If the patient has a diagnosis of HIV without a CD4 count &lt; 200 or a CD4 count &lt; 200 without HIV, they are eligible.</w:t>
            </w:r>
          </w:p>
        </w:tc>
      </w:tr>
      <w:tr w:rsidR="005B208B" w:rsidRPr="005B208B" w14:paraId="4B54BA50" w14:textId="77777777" w:rsidTr="005B208B">
        <w:trPr>
          <w:trHeight w:val="288"/>
        </w:trPr>
        <w:tc>
          <w:tcPr>
            <w:tcW w:w="4135" w:type="dxa"/>
            <w:vMerge/>
            <w:hideMark/>
          </w:tcPr>
          <w:p w14:paraId="4FD83EC2" w14:textId="77777777" w:rsidR="005B208B" w:rsidRPr="005B208B" w:rsidRDefault="005B208B">
            <w:pPr>
              <w:rPr>
                <w:rFonts w:cs="Arial"/>
              </w:rPr>
            </w:pPr>
          </w:p>
        </w:tc>
        <w:tc>
          <w:tcPr>
            <w:tcW w:w="10255" w:type="dxa"/>
            <w:hideMark/>
          </w:tcPr>
          <w:p w14:paraId="35EC7517" w14:textId="393D1D0C" w:rsidR="005B208B" w:rsidRPr="005B208B" w:rsidRDefault="005B208B" w:rsidP="005B208B">
            <w:pPr>
              <w:ind w:left="144"/>
              <w:rPr>
                <w:rFonts w:cs="Arial"/>
              </w:rPr>
            </w:pPr>
            <w:r w:rsidRPr="005B208B">
              <w:rPr>
                <w:rFonts w:cs="Arial"/>
              </w:rPr>
              <w:t xml:space="preserve">Patient has neutropenia (ANC &lt;0.5) </w:t>
            </w:r>
            <w:r w:rsidR="0046734F">
              <w:rPr>
                <w:rFonts w:cs="Arial"/>
              </w:rPr>
              <w:t>at the time of the urine culture or in the two days prior to the urine culture</w:t>
            </w:r>
          </w:p>
        </w:tc>
      </w:tr>
      <w:tr w:rsidR="005B208B" w:rsidRPr="005B208B" w14:paraId="483B5A7B" w14:textId="77777777" w:rsidTr="005B208B">
        <w:trPr>
          <w:trHeight w:val="552"/>
        </w:trPr>
        <w:tc>
          <w:tcPr>
            <w:tcW w:w="4135" w:type="dxa"/>
            <w:vMerge/>
            <w:hideMark/>
          </w:tcPr>
          <w:p w14:paraId="0C7C696E" w14:textId="77777777" w:rsidR="005B208B" w:rsidRPr="005B208B" w:rsidRDefault="005B208B">
            <w:pPr>
              <w:rPr>
                <w:rFonts w:cs="Arial"/>
              </w:rPr>
            </w:pPr>
          </w:p>
        </w:tc>
        <w:tc>
          <w:tcPr>
            <w:tcW w:w="10255" w:type="dxa"/>
            <w:hideMark/>
          </w:tcPr>
          <w:p w14:paraId="1BE556B0" w14:textId="227301F1" w:rsidR="005B208B" w:rsidRPr="000178D6" w:rsidRDefault="005B208B" w:rsidP="005B208B">
            <w:pPr>
              <w:ind w:left="288"/>
              <w:rPr>
                <w:rFonts w:cs="Arial"/>
              </w:rPr>
            </w:pPr>
            <w:r w:rsidRPr="000178D6">
              <w:rPr>
                <w:rFonts w:cs="Arial"/>
                <w:i/>
                <w:iCs/>
              </w:rPr>
              <w:t>Note 1</w:t>
            </w:r>
            <w:r w:rsidRPr="000178D6">
              <w:rPr>
                <w:rFonts w:cs="Arial"/>
              </w:rPr>
              <w:t xml:space="preserve">: ANC stands for Absolute Neutrophil count. This can be found in the laboratory section as a part of a CBC with differential. Include labs titled Abs </w:t>
            </w:r>
            <w:proofErr w:type="spellStart"/>
            <w:r w:rsidRPr="000178D6">
              <w:rPr>
                <w:rFonts w:cs="Arial"/>
              </w:rPr>
              <w:t>Polynuc</w:t>
            </w:r>
            <w:proofErr w:type="spellEnd"/>
            <w:r w:rsidRPr="000178D6">
              <w:rPr>
                <w:rFonts w:cs="Arial"/>
              </w:rPr>
              <w:t xml:space="preserve"> Neutrophil Count, Neutrophil number</w:t>
            </w:r>
          </w:p>
        </w:tc>
      </w:tr>
      <w:tr w:rsidR="005B208B" w:rsidRPr="005B208B" w14:paraId="38608B35" w14:textId="77777777" w:rsidTr="000178D6">
        <w:trPr>
          <w:trHeight w:val="386"/>
        </w:trPr>
        <w:tc>
          <w:tcPr>
            <w:tcW w:w="4135" w:type="dxa"/>
            <w:vMerge/>
            <w:hideMark/>
          </w:tcPr>
          <w:p w14:paraId="280AF188" w14:textId="77777777" w:rsidR="005B208B" w:rsidRPr="005B208B" w:rsidRDefault="005B208B">
            <w:pPr>
              <w:rPr>
                <w:rFonts w:cs="Arial"/>
              </w:rPr>
            </w:pPr>
          </w:p>
        </w:tc>
        <w:tc>
          <w:tcPr>
            <w:tcW w:w="10255" w:type="dxa"/>
            <w:hideMark/>
          </w:tcPr>
          <w:p w14:paraId="46E0C7DF" w14:textId="0267E23C" w:rsidR="005B208B" w:rsidRPr="000178D6" w:rsidRDefault="005B208B" w:rsidP="005B208B">
            <w:pPr>
              <w:ind w:left="288"/>
              <w:rPr>
                <w:rFonts w:cs="Arial"/>
              </w:rPr>
            </w:pPr>
            <w:bookmarkStart w:id="9" w:name="_Hlk115168566"/>
            <w:r w:rsidRPr="000178D6">
              <w:rPr>
                <w:rFonts w:cs="Arial"/>
                <w:i/>
                <w:iCs/>
              </w:rPr>
              <w:t>Note 2</w:t>
            </w:r>
            <w:r w:rsidRPr="000178D6">
              <w:rPr>
                <w:rFonts w:cs="Arial"/>
              </w:rPr>
              <w:t>: If the Absolute Neutrophil Count (ANC) value is listed as “Suppressed” and the White Blood Cell (WBC) Count is 0, this patient should be excluded.</w:t>
            </w:r>
            <w:bookmarkEnd w:id="9"/>
          </w:p>
        </w:tc>
      </w:tr>
      <w:bookmarkEnd w:id="8"/>
      <w:tr w:rsidR="005B208B" w:rsidRPr="005B208B" w14:paraId="5CA4EE5C" w14:textId="77777777" w:rsidTr="00BC3B5B">
        <w:trPr>
          <w:trHeight w:val="939"/>
        </w:trPr>
        <w:tc>
          <w:tcPr>
            <w:tcW w:w="4135" w:type="dxa"/>
            <w:vMerge w:val="restart"/>
            <w:hideMark/>
          </w:tcPr>
          <w:p w14:paraId="6AC937E2" w14:textId="49D971F2" w:rsidR="005B208B" w:rsidRPr="005B208B" w:rsidRDefault="00D52956">
            <w:pPr>
              <w:rPr>
                <w:rFonts w:cs="Arial"/>
              </w:rPr>
            </w:pPr>
            <w:r>
              <w:rPr>
                <w:rFonts w:cs="Arial"/>
              </w:rPr>
              <w:lastRenderedPageBreak/>
              <w:t xml:space="preserve">Treated only for </w:t>
            </w:r>
            <w:r w:rsidR="0058574F" w:rsidRPr="0058574F">
              <w:rPr>
                <w:rFonts w:cs="Arial"/>
              </w:rPr>
              <w:t xml:space="preserve">UTI or </w:t>
            </w:r>
            <w:r>
              <w:rPr>
                <w:rFonts w:cs="Arial"/>
              </w:rPr>
              <w:t>infection secondary to</w:t>
            </w:r>
            <w:r w:rsidR="0058574F" w:rsidRPr="0058574F">
              <w:rPr>
                <w:rFonts w:cs="Arial"/>
              </w:rPr>
              <w:t xml:space="preserve"> UTI (e.g.</w:t>
            </w:r>
            <w:r w:rsidR="0058574F">
              <w:rPr>
                <w:rFonts w:cs="Arial"/>
              </w:rPr>
              <w:t>,</w:t>
            </w:r>
            <w:r w:rsidR="0058574F" w:rsidRPr="0058574F">
              <w:rPr>
                <w:rFonts w:cs="Arial"/>
              </w:rPr>
              <w:t xml:space="preserve"> </w:t>
            </w:r>
            <w:r>
              <w:rPr>
                <w:rFonts w:cs="Arial"/>
              </w:rPr>
              <w:t xml:space="preserve">sepsis, bacteremia, </w:t>
            </w:r>
            <w:r w:rsidRPr="00D52956">
              <w:rPr>
                <w:rFonts w:cs="Arial"/>
                <w:i/>
                <w:iCs/>
              </w:rPr>
              <w:t>C Diff</w:t>
            </w:r>
            <w:r w:rsidR="0058574F" w:rsidRPr="0058574F">
              <w:rPr>
                <w:rFonts w:cs="Arial"/>
              </w:rPr>
              <w:t xml:space="preserve">) </w:t>
            </w:r>
            <w:r>
              <w:rPr>
                <w:rFonts w:cs="Arial"/>
              </w:rPr>
              <w:t>during hospitalization</w:t>
            </w:r>
          </w:p>
        </w:tc>
        <w:tc>
          <w:tcPr>
            <w:tcW w:w="10255" w:type="dxa"/>
            <w:tcBorders>
              <w:bottom w:val="single" w:sz="4" w:space="0" w:color="auto"/>
            </w:tcBorders>
            <w:hideMark/>
          </w:tcPr>
          <w:p w14:paraId="4471CBD1" w14:textId="2C59E1B4" w:rsidR="005B208B" w:rsidRPr="005B208B" w:rsidRDefault="0058574F">
            <w:pPr>
              <w:rPr>
                <w:rFonts w:cs="Arial"/>
              </w:rPr>
            </w:pPr>
            <w:r>
              <w:rPr>
                <w:rFonts w:cs="Arial"/>
              </w:rPr>
              <w:t>P</w:t>
            </w:r>
            <w:r w:rsidR="005B208B" w:rsidRPr="005B208B">
              <w:rPr>
                <w:rFonts w:cs="Arial"/>
              </w:rPr>
              <w:t>atient</w:t>
            </w:r>
            <w:r>
              <w:rPr>
                <w:rFonts w:cs="Arial"/>
              </w:rPr>
              <w:t>s</w:t>
            </w:r>
            <w:r w:rsidR="005B208B" w:rsidRPr="005B208B">
              <w:rPr>
                <w:rFonts w:cs="Arial"/>
              </w:rPr>
              <w:t xml:space="preserve"> on antibiotic treatment for a concomitant bacterial infection anytime during the hospital encounter (ER, </w:t>
            </w:r>
            <w:proofErr w:type="spellStart"/>
            <w:r w:rsidR="005B208B" w:rsidRPr="005B208B">
              <w:rPr>
                <w:rFonts w:cs="Arial"/>
              </w:rPr>
              <w:t>Obs</w:t>
            </w:r>
            <w:proofErr w:type="spellEnd"/>
            <w:r w:rsidR="005B208B" w:rsidRPr="005B208B">
              <w:rPr>
                <w:rFonts w:cs="Arial"/>
              </w:rPr>
              <w:t xml:space="preserve">, Inpatient) </w:t>
            </w:r>
            <w:r w:rsidR="005B208B" w:rsidRPr="0058574F">
              <w:rPr>
                <w:rFonts w:cs="Arial"/>
                <w:u w:val="single"/>
              </w:rPr>
              <w:t>except</w:t>
            </w:r>
            <w:r w:rsidR="005B208B" w:rsidRPr="005B208B">
              <w:rPr>
                <w:rFonts w:cs="Arial"/>
              </w:rPr>
              <w:t xml:space="preserve"> those infections that are secondary to UTI (e.g., sepsis, bacteremia, or </w:t>
            </w:r>
            <w:proofErr w:type="spellStart"/>
            <w:r w:rsidR="005B208B" w:rsidRPr="005B208B">
              <w:rPr>
                <w:rFonts w:cs="Arial"/>
                <w:i/>
                <w:iCs/>
              </w:rPr>
              <w:t>Clostridiodes</w:t>
            </w:r>
            <w:proofErr w:type="spellEnd"/>
            <w:r w:rsidR="005B208B" w:rsidRPr="005B208B">
              <w:rPr>
                <w:rFonts w:cs="Arial"/>
                <w:i/>
                <w:iCs/>
              </w:rPr>
              <w:t xml:space="preserve"> </w:t>
            </w:r>
            <w:proofErr w:type="spellStart"/>
            <w:r w:rsidR="005B208B" w:rsidRPr="005B208B">
              <w:rPr>
                <w:rFonts w:cs="Arial"/>
                <w:i/>
                <w:iCs/>
              </w:rPr>
              <w:t>difficle</w:t>
            </w:r>
            <w:proofErr w:type="spellEnd"/>
            <w:r w:rsidR="005B208B" w:rsidRPr="005B208B">
              <w:rPr>
                <w:rFonts w:cs="Arial"/>
              </w:rPr>
              <w:t xml:space="preserve"> infection [</w:t>
            </w:r>
            <w:r w:rsidR="005B208B" w:rsidRPr="005B208B">
              <w:rPr>
                <w:rFonts w:cs="Arial"/>
                <w:i/>
                <w:iCs/>
              </w:rPr>
              <w:t>C Diff</w:t>
            </w:r>
            <w:r w:rsidR="005B208B" w:rsidRPr="005B208B">
              <w:rPr>
                <w:rFonts w:cs="Arial"/>
              </w:rPr>
              <w:t xml:space="preserve">]) are ineligible. Patients who are discharged with a prescription for an antibiotic for a concomitant infection are also ineligible.  </w:t>
            </w:r>
          </w:p>
        </w:tc>
      </w:tr>
      <w:tr w:rsidR="005B208B" w:rsidRPr="005B208B" w14:paraId="4AA9FB29" w14:textId="77777777" w:rsidTr="00BC3B5B">
        <w:trPr>
          <w:trHeight w:val="288"/>
        </w:trPr>
        <w:tc>
          <w:tcPr>
            <w:tcW w:w="4135" w:type="dxa"/>
            <w:vMerge/>
            <w:tcBorders>
              <w:right w:val="single" w:sz="4" w:space="0" w:color="auto"/>
            </w:tcBorders>
            <w:hideMark/>
          </w:tcPr>
          <w:p w14:paraId="3E592CAB" w14:textId="77777777" w:rsidR="005B208B" w:rsidRPr="005B208B" w:rsidRDefault="005B208B">
            <w:pPr>
              <w:rPr>
                <w:rFonts w:cs="Arial"/>
              </w:rPr>
            </w:pPr>
          </w:p>
        </w:tc>
        <w:tc>
          <w:tcPr>
            <w:tcW w:w="10255" w:type="dxa"/>
            <w:tcBorders>
              <w:top w:val="single" w:sz="4" w:space="0" w:color="auto"/>
              <w:left w:val="single" w:sz="4" w:space="0" w:color="auto"/>
              <w:bottom w:val="single" w:sz="4" w:space="0" w:color="auto"/>
              <w:right w:val="single" w:sz="4" w:space="0" w:color="auto"/>
            </w:tcBorders>
            <w:hideMark/>
          </w:tcPr>
          <w:p w14:paraId="7E136F83" w14:textId="756B5FDA" w:rsidR="005B208B" w:rsidRPr="005B208B" w:rsidRDefault="005B208B">
            <w:pPr>
              <w:rPr>
                <w:rFonts w:cs="Arial"/>
              </w:rPr>
            </w:pPr>
            <w:r w:rsidRPr="0058574F">
              <w:rPr>
                <w:rFonts w:cs="Arial"/>
                <w:u w:val="single"/>
              </w:rPr>
              <w:t>Allowable concomitant antibiotic therapy</w:t>
            </w:r>
            <w:r w:rsidRPr="005B208B">
              <w:rPr>
                <w:rFonts w:cs="Arial"/>
              </w:rPr>
              <w:t xml:space="preserve"> </w:t>
            </w:r>
            <w:r w:rsidR="0046734F">
              <w:rPr>
                <w:rFonts w:cs="Arial"/>
              </w:rPr>
              <w:t xml:space="preserve">(not generally intended for a bacterial infection) </w:t>
            </w:r>
            <w:r w:rsidRPr="005B208B">
              <w:rPr>
                <w:rFonts w:cs="Arial"/>
              </w:rPr>
              <w:t xml:space="preserve">includes:   </w:t>
            </w:r>
          </w:p>
        </w:tc>
      </w:tr>
      <w:tr w:rsidR="005B208B" w:rsidRPr="005B208B" w14:paraId="72653CF2" w14:textId="77777777" w:rsidTr="00BC3B5B">
        <w:trPr>
          <w:trHeight w:val="564"/>
        </w:trPr>
        <w:tc>
          <w:tcPr>
            <w:tcW w:w="4135" w:type="dxa"/>
            <w:vMerge/>
            <w:tcBorders>
              <w:right w:val="single" w:sz="4" w:space="0" w:color="auto"/>
            </w:tcBorders>
            <w:hideMark/>
          </w:tcPr>
          <w:p w14:paraId="7615366C" w14:textId="77777777" w:rsidR="005B208B" w:rsidRPr="005B208B" w:rsidRDefault="005B208B">
            <w:pPr>
              <w:rPr>
                <w:rFonts w:cs="Arial"/>
              </w:rPr>
            </w:pPr>
          </w:p>
        </w:tc>
        <w:tc>
          <w:tcPr>
            <w:tcW w:w="10255" w:type="dxa"/>
            <w:tcBorders>
              <w:top w:val="single" w:sz="4" w:space="0" w:color="auto"/>
              <w:left w:val="single" w:sz="4" w:space="0" w:color="auto"/>
              <w:bottom w:val="single" w:sz="4" w:space="0" w:color="auto"/>
              <w:right w:val="single" w:sz="4" w:space="0" w:color="auto"/>
            </w:tcBorders>
            <w:hideMark/>
          </w:tcPr>
          <w:p w14:paraId="26D5C7F8" w14:textId="579774A6" w:rsidR="005B208B" w:rsidRPr="005B208B" w:rsidRDefault="005B208B" w:rsidP="005B208B">
            <w:pPr>
              <w:ind w:left="144"/>
              <w:rPr>
                <w:rFonts w:cs="Arial"/>
              </w:rPr>
            </w:pPr>
            <w:r>
              <w:rPr>
                <w:rFonts w:cs="Arial"/>
              </w:rPr>
              <w:t>T</w:t>
            </w:r>
            <w:r w:rsidRPr="005B208B">
              <w:rPr>
                <w:rFonts w:cs="Arial"/>
              </w:rPr>
              <w:t xml:space="preserve">opical antibiotics including ointments (e.g., erythromycin ointment), salves, powders and ophthalmic (eye) drops or ear drops (e.g., Ciprofloxacin ophthalmic solution). </w:t>
            </w:r>
          </w:p>
        </w:tc>
      </w:tr>
      <w:tr w:rsidR="005B208B" w:rsidRPr="005B208B" w14:paraId="634A0D58" w14:textId="77777777" w:rsidTr="00BC3B5B">
        <w:trPr>
          <w:trHeight w:val="900"/>
        </w:trPr>
        <w:tc>
          <w:tcPr>
            <w:tcW w:w="4135" w:type="dxa"/>
            <w:vMerge/>
            <w:hideMark/>
          </w:tcPr>
          <w:p w14:paraId="30E01789" w14:textId="77777777" w:rsidR="005B208B" w:rsidRPr="005B208B" w:rsidRDefault="005B208B">
            <w:pPr>
              <w:rPr>
                <w:rFonts w:cs="Arial"/>
              </w:rPr>
            </w:pPr>
          </w:p>
        </w:tc>
        <w:tc>
          <w:tcPr>
            <w:tcW w:w="10255" w:type="dxa"/>
            <w:tcBorders>
              <w:top w:val="single" w:sz="4" w:space="0" w:color="auto"/>
            </w:tcBorders>
            <w:hideMark/>
          </w:tcPr>
          <w:p w14:paraId="1FF3B3EB" w14:textId="25A5C3D8" w:rsidR="005B208B" w:rsidRPr="005B208B" w:rsidRDefault="005B208B" w:rsidP="005B208B">
            <w:pPr>
              <w:ind w:left="144"/>
              <w:rPr>
                <w:rFonts w:cs="Arial"/>
              </w:rPr>
            </w:pPr>
            <w:r>
              <w:rPr>
                <w:rFonts w:cs="Arial"/>
              </w:rPr>
              <w:t>P</w:t>
            </w:r>
            <w:r w:rsidRPr="005B208B">
              <w:rPr>
                <w:rFonts w:cs="Arial"/>
              </w:rPr>
              <w:t xml:space="preserve">atients who receive antibiotics for conditions which are not concomitant infections such as Common Variable Immune Deficiency (CVID), rosacea, hepatic encephalopathy, Non-Alcoholic Steatohepatitis (NASH), Rheumatoid Arthritis (RA), and Syndrome of Inappropriate Antidiuretic Hormone Secretion (SIADH) are eligible. </w:t>
            </w:r>
            <w:r w:rsidR="00666E77">
              <w:rPr>
                <w:rFonts w:cs="Arial"/>
              </w:rPr>
              <w:t>(e.g., rifaximin)</w:t>
            </w:r>
          </w:p>
        </w:tc>
      </w:tr>
      <w:tr w:rsidR="005B208B" w:rsidRPr="005B208B" w14:paraId="77086F32" w14:textId="77777777" w:rsidTr="005B208B">
        <w:trPr>
          <w:trHeight w:val="288"/>
        </w:trPr>
        <w:tc>
          <w:tcPr>
            <w:tcW w:w="4135" w:type="dxa"/>
            <w:vMerge/>
            <w:hideMark/>
          </w:tcPr>
          <w:p w14:paraId="7035D047" w14:textId="77777777" w:rsidR="005B208B" w:rsidRPr="005B208B" w:rsidRDefault="005B208B">
            <w:pPr>
              <w:rPr>
                <w:rFonts w:cs="Arial"/>
              </w:rPr>
            </w:pPr>
          </w:p>
        </w:tc>
        <w:tc>
          <w:tcPr>
            <w:tcW w:w="10255" w:type="dxa"/>
            <w:noWrap/>
            <w:hideMark/>
          </w:tcPr>
          <w:p w14:paraId="5B842190" w14:textId="7B60B1B3" w:rsidR="005B208B" w:rsidRPr="005B208B" w:rsidRDefault="005B208B" w:rsidP="005B208B">
            <w:pPr>
              <w:ind w:left="144"/>
              <w:rPr>
                <w:rFonts w:cs="Arial"/>
              </w:rPr>
            </w:pPr>
            <w:r w:rsidRPr="005B208B">
              <w:rPr>
                <w:rFonts w:cs="Arial"/>
              </w:rPr>
              <w:t>Patients who receive antibiotics for surgery pre- or peri-operative are eligible.</w:t>
            </w:r>
          </w:p>
        </w:tc>
      </w:tr>
      <w:tr w:rsidR="005B208B" w:rsidRPr="005B208B" w14:paraId="144BB650" w14:textId="77777777" w:rsidTr="005B208B">
        <w:trPr>
          <w:trHeight w:val="435"/>
        </w:trPr>
        <w:tc>
          <w:tcPr>
            <w:tcW w:w="4135" w:type="dxa"/>
            <w:vMerge/>
            <w:hideMark/>
          </w:tcPr>
          <w:p w14:paraId="199EC1DC" w14:textId="77777777" w:rsidR="005B208B" w:rsidRPr="005B208B" w:rsidRDefault="005B208B">
            <w:pPr>
              <w:rPr>
                <w:rFonts w:cs="Arial"/>
              </w:rPr>
            </w:pPr>
          </w:p>
        </w:tc>
        <w:tc>
          <w:tcPr>
            <w:tcW w:w="10255" w:type="dxa"/>
            <w:hideMark/>
          </w:tcPr>
          <w:p w14:paraId="7A7FCF96" w14:textId="6862E243" w:rsidR="005B208B" w:rsidRPr="005B208B" w:rsidRDefault="005B208B" w:rsidP="005B208B">
            <w:pPr>
              <w:ind w:left="144"/>
              <w:rPr>
                <w:rFonts w:cs="Arial"/>
              </w:rPr>
            </w:pPr>
            <w:r w:rsidRPr="005B208B">
              <w:rPr>
                <w:rFonts w:cs="Arial"/>
              </w:rPr>
              <w:t xml:space="preserve">Patients undergoing treatment with antibiotics ordered for prophylaxis of a potential concomitant infection are </w:t>
            </w:r>
            <w:r w:rsidR="0046734F">
              <w:rPr>
                <w:rFonts w:cs="Arial"/>
              </w:rPr>
              <w:t xml:space="preserve">NOT </w:t>
            </w:r>
            <w:r w:rsidRPr="005B208B">
              <w:rPr>
                <w:rFonts w:cs="Arial"/>
              </w:rPr>
              <w:t>eligible. </w:t>
            </w:r>
          </w:p>
        </w:tc>
      </w:tr>
      <w:tr w:rsidR="005B208B" w:rsidRPr="005B208B" w14:paraId="34E58B2D" w14:textId="77777777" w:rsidTr="005B208B">
        <w:trPr>
          <w:trHeight w:val="420"/>
        </w:trPr>
        <w:tc>
          <w:tcPr>
            <w:tcW w:w="4135" w:type="dxa"/>
            <w:vMerge/>
            <w:hideMark/>
          </w:tcPr>
          <w:p w14:paraId="379DE89D" w14:textId="77777777" w:rsidR="005B208B" w:rsidRPr="005B208B" w:rsidRDefault="005B208B">
            <w:pPr>
              <w:rPr>
                <w:rFonts w:cs="Arial"/>
              </w:rPr>
            </w:pPr>
          </w:p>
        </w:tc>
        <w:tc>
          <w:tcPr>
            <w:tcW w:w="10255" w:type="dxa"/>
            <w:hideMark/>
          </w:tcPr>
          <w:p w14:paraId="3FF1A8CD" w14:textId="0C2808FD" w:rsidR="005B208B" w:rsidRPr="005B208B" w:rsidRDefault="005B208B">
            <w:pPr>
              <w:rPr>
                <w:rFonts w:cs="Arial"/>
              </w:rPr>
            </w:pPr>
            <w:r w:rsidRPr="005B208B">
              <w:rPr>
                <w:rFonts w:cs="Arial"/>
              </w:rPr>
              <w:t xml:space="preserve">Patients </w:t>
            </w:r>
            <w:r w:rsidR="00666E77">
              <w:rPr>
                <w:rFonts w:cs="Arial"/>
              </w:rPr>
              <w:t>treated for COVID-19 during hospitalization are ineligible. Prior COVID or incidental COVID that is not treated is eligible.</w:t>
            </w:r>
          </w:p>
        </w:tc>
      </w:tr>
      <w:tr w:rsidR="005B208B" w:rsidRPr="005B208B" w14:paraId="78476A4E" w14:textId="77777777" w:rsidTr="005B208B">
        <w:trPr>
          <w:trHeight w:val="432"/>
        </w:trPr>
        <w:tc>
          <w:tcPr>
            <w:tcW w:w="4135" w:type="dxa"/>
            <w:hideMark/>
          </w:tcPr>
          <w:p w14:paraId="175D9F02" w14:textId="77777777" w:rsidR="005B208B" w:rsidRPr="005B208B" w:rsidRDefault="005B208B">
            <w:pPr>
              <w:rPr>
                <w:rFonts w:cs="Arial"/>
              </w:rPr>
            </w:pPr>
            <w:r w:rsidRPr="005B208B">
              <w:rPr>
                <w:rFonts w:cs="Arial"/>
              </w:rPr>
              <w:t>Have normal urinary anatomy</w:t>
            </w:r>
          </w:p>
        </w:tc>
        <w:tc>
          <w:tcPr>
            <w:tcW w:w="10255" w:type="dxa"/>
            <w:hideMark/>
          </w:tcPr>
          <w:p w14:paraId="7DA9DB1A" w14:textId="28E69515" w:rsidR="005B208B" w:rsidRPr="005B208B" w:rsidRDefault="005B208B">
            <w:pPr>
              <w:rPr>
                <w:rFonts w:cs="Arial"/>
              </w:rPr>
            </w:pPr>
            <w:r w:rsidRPr="005B208B">
              <w:rPr>
                <w:rFonts w:cs="Arial"/>
              </w:rPr>
              <w:t>Patients with urinary stent, nephrostomy, altered urinary tract anatomy, or urologic surgery during hospitalization are ineligible</w:t>
            </w:r>
            <w:r w:rsidR="00666E77">
              <w:rPr>
                <w:rFonts w:cs="Arial"/>
              </w:rPr>
              <w:t>.</w:t>
            </w:r>
          </w:p>
        </w:tc>
      </w:tr>
    </w:tbl>
    <w:p w14:paraId="5A24D527" w14:textId="42465D9E" w:rsidR="00674A0A" w:rsidRPr="005B208B" w:rsidRDefault="00674A0A" w:rsidP="00674A0A">
      <w:pPr>
        <w:spacing w:before="120" w:after="120"/>
        <w:rPr>
          <w:rFonts w:cs="Arial"/>
        </w:rPr>
      </w:pPr>
      <w:r>
        <w:rPr>
          <w:rFonts w:cs="Arial"/>
        </w:rPr>
        <w:t xml:space="preserve">If any of the Inclusion Criteria are not met, </w:t>
      </w:r>
      <w:r w:rsidR="0011652D">
        <w:rPr>
          <w:rFonts w:cs="Arial"/>
        </w:rPr>
        <w:t>the following</w:t>
      </w:r>
      <w:r>
        <w:rPr>
          <w:rFonts w:cs="Arial"/>
        </w:rPr>
        <w:t xml:space="preserve"> message will appear</w:t>
      </w:r>
      <w:r w:rsidR="0011652D">
        <w:rPr>
          <w:rFonts w:cs="Arial"/>
        </w:rPr>
        <w:t>: “</w:t>
      </w:r>
      <w:r w:rsidR="0011652D" w:rsidRPr="00200A0E">
        <w:rPr>
          <w:rFonts w:cs="Arial"/>
          <w:color w:val="FF0000"/>
        </w:rPr>
        <w:t>This case does not meet inclusion criteria. Please scroll down</w:t>
      </w:r>
      <w:r w:rsidR="00200A0E">
        <w:rPr>
          <w:rFonts w:cs="Arial"/>
          <w:color w:val="FF0000"/>
        </w:rPr>
        <w:t xml:space="preserve"> to the bottom of this form</w:t>
      </w:r>
      <w:r w:rsidR="0011652D" w:rsidRPr="00200A0E">
        <w:rPr>
          <w:rFonts w:cs="Arial"/>
          <w:color w:val="FF0000"/>
        </w:rPr>
        <w:t xml:space="preserve"> and click ‘Submit’ and move on to the next case review</w:t>
      </w:r>
      <w:r w:rsidR="00200A0E">
        <w:rPr>
          <w:rFonts w:cs="Arial"/>
          <w:color w:val="FF0000"/>
        </w:rPr>
        <w:t xml:space="preserve"> by clicking on the link (https://redcap.link/Case_Abstraction_Form)</w:t>
      </w:r>
      <w:r w:rsidR="0011652D">
        <w:rPr>
          <w:rFonts w:cs="Arial"/>
        </w:rPr>
        <w:t xml:space="preserve">”. </w:t>
      </w:r>
      <w:r w:rsidR="000D79F7">
        <w:rPr>
          <w:rFonts w:cs="Arial"/>
        </w:rPr>
        <w:t xml:space="preserve">Please </w:t>
      </w:r>
      <w:r w:rsidR="00200A0E">
        <w:rPr>
          <w:rFonts w:cs="Arial"/>
        </w:rPr>
        <w:t xml:space="preserve">remember to </w:t>
      </w:r>
      <w:r w:rsidR="0011652D">
        <w:rPr>
          <w:rFonts w:cs="Arial"/>
        </w:rPr>
        <w:t>click “Submit”, even for cases that do not meet inclusion/exclusion criteria.</w:t>
      </w:r>
    </w:p>
    <w:p w14:paraId="4213886B" w14:textId="77777777" w:rsidR="00200A0E" w:rsidRDefault="00200A0E">
      <w:pPr>
        <w:rPr>
          <w:rFonts w:eastAsiaTheme="majorEastAsia" w:cstheme="majorBidi"/>
          <w:b/>
          <w:color w:val="2F5496" w:themeColor="accent1" w:themeShade="BF"/>
          <w:sz w:val="24"/>
          <w:szCs w:val="32"/>
        </w:rPr>
      </w:pPr>
      <w:r>
        <w:br w:type="page"/>
      </w:r>
    </w:p>
    <w:p w14:paraId="38DF9303" w14:textId="20824EBE" w:rsidR="006256A0" w:rsidRPr="005B208B" w:rsidRDefault="006256A0" w:rsidP="005B208B">
      <w:pPr>
        <w:pStyle w:val="Heading1"/>
      </w:pPr>
      <w:bookmarkStart w:id="10" w:name="_Toc115178815"/>
      <w:r w:rsidRPr="005B208B">
        <w:lastRenderedPageBreak/>
        <w:t>Exclusion</w:t>
      </w:r>
      <w:r w:rsidR="009E5A02">
        <w:t xml:space="preserve"> Criteria</w:t>
      </w:r>
      <w:bookmarkEnd w:id="10"/>
    </w:p>
    <w:p w14:paraId="74179A9A" w14:textId="3A036F16" w:rsidR="006256A0" w:rsidRDefault="009E5A02" w:rsidP="006256A0">
      <w:pPr>
        <w:rPr>
          <w:rFonts w:cs="Arial"/>
        </w:rPr>
      </w:pPr>
      <w:r>
        <w:rPr>
          <w:rFonts w:cs="Arial"/>
        </w:rPr>
        <w:t>E</w:t>
      </w:r>
      <w:r w:rsidR="006256A0" w:rsidRPr="005B208B">
        <w:rPr>
          <w:rFonts w:cs="Arial"/>
        </w:rPr>
        <w:t>xclusion</w:t>
      </w:r>
      <w:r>
        <w:rPr>
          <w:rFonts w:cs="Arial"/>
        </w:rPr>
        <w:t xml:space="preserve"> criteria should be reviewed b</w:t>
      </w:r>
      <w:r w:rsidR="006256A0" w:rsidRPr="005B208B">
        <w:rPr>
          <w:rFonts w:cs="Arial"/>
        </w:rPr>
        <w:t xml:space="preserve">efore beginning full abstraction. </w:t>
      </w:r>
    </w:p>
    <w:tbl>
      <w:tblPr>
        <w:tblStyle w:val="TableGrid"/>
        <w:tblW w:w="0" w:type="auto"/>
        <w:tblLook w:val="04A0" w:firstRow="1" w:lastRow="0" w:firstColumn="1" w:lastColumn="0" w:noHBand="0" w:noVBand="1"/>
      </w:tblPr>
      <w:tblGrid>
        <w:gridCol w:w="3226"/>
        <w:gridCol w:w="11164"/>
      </w:tblGrid>
      <w:tr w:rsidR="009E5A02" w:rsidRPr="009E5A02" w14:paraId="4E369804" w14:textId="77777777" w:rsidTr="00532553">
        <w:trPr>
          <w:cantSplit/>
          <w:trHeight w:val="384"/>
          <w:tblHeader/>
        </w:trPr>
        <w:tc>
          <w:tcPr>
            <w:tcW w:w="3226" w:type="dxa"/>
            <w:hideMark/>
          </w:tcPr>
          <w:p w14:paraId="508A91BD" w14:textId="6AFEB0AF" w:rsidR="009E5A02" w:rsidRPr="009E5A02" w:rsidRDefault="00674A0A">
            <w:pPr>
              <w:rPr>
                <w:rFonts w:cs="Arial"/>
                <w:b/>
                <w:bCs/>
              </w:rPr>
            </w:pPr>
            <w:r w:rsidRPr="009E5A02">
              <w:rPr>
                <w:rFonts w:cs="Arial"/>
                <w:b/>
                <w:bCs/>
              </w:rPr>
              <w:t>Criterion</w:t>
            </w:r>
          </w:p>
        </w:tc>
        <w:tc>
          <w:tcPr>
            <w:tcW w:w="11164" w:type="dxa"/>
            <w:hideMark/>
          </w:tcPr>
          <w:p w14:paraId="6F05D7D9" w14:textId="77777777" w:rsidR="009E5A02" w:rsidRPr="009E5A02" w:rsidRDefault="009E5A02">
            <w:pPr>
              <w:rPr>
                <w:rFonts w:cs="Arial"/>
                <w:b/>
                <w:bCs/>
              </w:rPr>
            </w:pPr>
            <w:r w:rsidRPr="009E5A02">
              <w:rPr>
                <w:rFonts w:cs="Arial"/>
                <w:b/>
                <w:bCs/>
              </w:rPr>
              <w:t>Operationalized Definition</w:t>
            </w:r>
          </w:p>
        </w:tc>
      </w:tr>
      <w:tr w:rsidR="009E5A02" w:rsidRPr="009E5A02" w14:paraId="7CCADE14" w14:textId="77777777" w:rsidTr="00911192">
        <w:trPr>
          <w:trHeight w:val="432"/>
        </w:trPr>
        <w:tc>
          <w:tcPr>
            <w:tcW w:w="3226" w:type="dxa"/>
            <w:hideMark/>
          </w:tcPr>
          <w:p w14:paraId="1F72B8C8" w14:textId="6E355171" w:rsidR="009E5A02" w:rsidRPr="009E5A02" w:rsidRDefault="009E5A02">
            <w:pPr>
              <w:rPr>
                <w:rFonts w:cs="Arial"/>
              </w:rPr>
            </w:pPr>
            <w:r w:rsidRPr="009E5A02">
              <w:rPr>
                <w:rFonts w:cs="Arial"/>
              </w:rPr>
              <w:t>Patients who left against medical advice</w:t>
            </w:r>
            <w:r w:rsidR="00B62D9B">
              <w:rPr>
                <w:rFonts w:cs="Arial"/>
              </w:rPr>
              <w:t xml:space="preserve"> (AMA)</w:t>
            </w:r>
            <w:r w:rsidRPr="009E5A02">
              <w:rPr>
                <w:rFonts w:cs="Arial"/>
              </w:rPr>
              <w:t xml:space="preserve"> or refused </w:t>
            </w:r>
            <w:r w:rsidR="00B62D9B">
              <w:rPr>
                <w:rFonts w:cs="Arial"/>
              </w:rPr>
              <w:t>care</w:t>
            </w:r>
          </w:p>
        </w:tc>
        <w:tc>
          <w:tcPr>
            <w:tcW w:w="11164" w:type="dxa"/>
            <w:hideMark/>
          </w:tcPr>
          <w:p w14:paraId="0F2796A5" w14:textId="198A70FF" w:rsidR="009E5A02" w:rsidRPr="009E5A02" w:rsidRDefault="009E5A02">
            <w:pPr>
              <w:rPr>
                <w:rFonts w:cs="Arial"/>
              </w:rPr>
            </w:pPr>
            <w:r w:rsidRPr="009E5A02">
              <w:rPr>
                <w:rFonts w:cs="Arial"/>
              </w:rPr>
              <w:t>Patient left against medical advice (AMA) or refused recommended medical care during the hospital encounter</w:t>
            </w:r>
            <w:r w:rsidR="00F4566F">
              <w:rPr>
                <w:rFonts w:cs="Arial"/>
              </w:rPr>
              <w:t xml:space="preserve"> (ok to include if only refused medical care unrelated to UTI, e.g., VTE prophylaxis)</w:t>
            </w:r>
            <w:r w:rsidRPr="009E5A02">
              <w:rPr>
                <w:rFonts w:cs="Arial"/>
              </w:rPr>
              <w:t>.</w:t>
            </w:r>
          </w:p>
        </w:tc>
      </w:tr>
      <w:tr w:rsidR="009E5A02" w:rsidRPr="009E5A02" w14:paraId="46C7C62D" w14:textId="77777777" w:rsidTr="00911192">
        <w:trPr>
          <w:trHeight w:val="300"/>
        </w:trPr>
        <w:tc>
          <w:tcPr>
            <w:tcW w:w="3226" w:type="dxa"/>
            <w:vMerge w:val="restart"/>
            <w:hideMark/>
          </w:tcPr>
          <w:p w14:paraId="2C2887A2" w14:textId="77777777" w:rsidR="009E5A02" w:rsidRPr="009E5A02" w:rsidRDefault="009E5A02">
            <w:pPr>
              <w:rPr>
                <w:rFonts w:cs="Arial"/>
              </w:rPr>
            </w:pPr>
            <w:r w:rsidRPr="009E5A02">
              <w:rPr>
                <w:rFonts w:cs="Arial"/>
              </w:rPr>
              <w:t>Patients admitted on hospice</w:t>
            </w:r>
          </w:p>
        </w:tc>
        <w:tc>
          <w:tcPr>
            <w:tcW w:w="11164" w:type="dxa"/>
            <w:hideMark/>
          </w:tcPr>
          <w:p w14:paraId="29E81058" w14:textId="77777777" w:rsidR="009E5A02" w:rsidRPr="009E5A02" w:rsidRDefault="009E5A02">
            <w:pPr>
              <w:rPr>
                <w:rFonts w:cs="Arial"/>
              </w:rPr>
            </w:pPr>
            <w:r w:rsidRPr="009E5A02">
              <w:rPr>
                <w:rFonts w:cs="Arial"/>
              </w:rPr>
              <w:t xml:space="preserve">Patient has an order for palliative care/comfort care during the hospital encounter </w:t>
            </w:r>
          </w:p>
        </w:tc>
      </w:tr>
      <w:tr w:rsidR="009E5A02" w:rsidRPr="009E5A02" w14:paraId="33C11F98" w14:textId="77777777" w:rsidTr="00911192">
        <w:trPr>
          <w:trHeight w:val="972"/>
        </w:trPr>
        <w:tc>
          <w:tcPr>
            <w:tcW w:w="3226" w:type="dxa"/>
            <w:vMerge/>
            <w:hideMark/>
          </w:tcPr>
          <w:p w14:paraId="790A8DC0" w14:textId="77777777" w:rsidR="009E5A02" w:rsidRPr="009E5A02" w:rsidRDefault="009E5A02">
            <w:pPr>
              <w:rPr>
                <w:rFonts w:cs="Arial"/>
              </w:rPr>
            </w:pPr>
          </w:p>
        </w:tc>
        <w:tc>
          <w:tcPr>
            <w:tcW w:w="11164" w:type="dxa"/>
            <w:hideMark/>
          </w:tcPr>
          <w:p w14:paraId="24ED040D" w14:textId="77777777" w:rsidR="009E5A02" w:rsidRPr="000178D6" w:rsidRDefault="009E5A02" w:rsidP="00B62D9B">
            <w:pPr>
              <w:ind w:left="144"/>
              <w:rPr>
                <w:rFonts w:cs="Arial"/>
              </w:rPr>
            </w:pPr>
            <w:r w:rsidRPr="000178D6">
              <w:rPr>
                <w:rFonts w:cs="Arial"/>
                <w:i/>
                <w:iCs/>
              </w:rPr>
              <w:t xml:space="preserve">Note: </w:t>
            </w:r>
            <w:r w:rsidRPr="000178D6">
              <w:rPr>
                <w:rFonts w:cs="Arial"/>
              </w:rPr>
              <w:t xml:space="preserve">the patient is eligible for abstraction if they have a palliative care consult or consult only and no orders for palliative care or comfort care are written during the encounter. The patient is also eligible for abstraction if the patient is on palliative care for pain management only or if the patient has an order for palliative care/comfort care after transfer to the ICU. </w:t>
            </w:r>
          </w:p>
        </w:tc>
      </w:tr>
      <w:tr w:rsidR="009E5A02" w:rsidRPr="009E5A02" w14:paraId="1EEA2533" w14:textId="77777777" w:rsidTr="00911192">
        <w:trPr>
          <w:trHeight w:val="312"/>
        </w:trPr>
        <w:tc>
          <w:tcPr>
            <w:tcW w:w="3226" w:type="dxa"/>
            <w:hideMark/>
          </w:tcPr>
          <w:p w14:paraId="12E5DEE4" w14:textId="0DB369D3" w:rsidR="009E5A02" w:rsidRPr="009E5A02" w:rsidRDefault="009E5A02">
            <w:pPr>
              <w:rPr>
                <w:rFonts w:cs="Arial"/>
              </w:rPr>
            </w:pPr>
            <w:r w:rsidRPr="009E5A02">
              <w:rPr>
                <w:rFonts w:cs="Arial"/>
              </w:rPr>
              <w:t xml:space="preserve">Pregnant </w:t>
            </w:r>
          </w:p>
        </w:tc>
        <w:tc>
          <w:tcPr>
            <w:tcW w:w="11164" w:type="dxa"/>
            <w:hideMark/>
          </w:tcPr>
          <w:p w14:paraId="17A48E0C" w14:textId="36EF7FBF" w:rsidR="009E5A02" w:rsidRPr="009E5A02" w:rsidRDefault="009E5A02">
            <w:pPr>
              <w:rPr>
                <w:rFonts w:cs="Arial"/>
              </w:rPr>
            </w:pPr>
            <w:r w:rsidRPr="009E5A02">
              <w:rPr>
                <w:rFonts w:cs="Arial"/>
              </w:rPr>
              <w:t xml:space="preserve">Documentation of a pregnancy during or within 30 days prior to the hospital encounter. </w:t>
            </w:r>
          </w:p>
        </w:tc>
      </w:tr>
      <w:tr w:rsidR="009E5A02" w:rsidRPr="009E5A02" w14:paraId="7D4D1258" w14:textId="77777777" w:rsidTr="00911192">
        <w:trPr>
          <w:trHeight w:val="876"/>
        </w:trPr>
        <w:tc>
          <w:tcPr>
            <w:tcW w:w="3226" w:type="dxa"/>
            <w:hideMark/>
          </w:tcPr>
          <w:p w14:paraId="17A1C9E8" w14:textId="77777777" w:rsidR="009E5A02" w:rsidRPr="009E5A02" w:rsidRDefault="009E5A02">
            <w:pPr>
              <w:rPr>
                <w:rFonts w:cs="Arial"/>
              </w:rPr>
            </w:pPr>
            <w:r w:rsidRPr="009E5A02">
              <w:rPr>
                <w:rFonts w:cs="Arial"/>
              </w:rPr>
              <w:t>Spinal cord injury</w:t>
            </w:r>
          </w:p>
        </w:tc>
        <w:tc>
          <w:tcPr>
            <w:tcW w:w="11164" w:type="dxa"/>
            <w:hideMark/>
          </w:tcPr>
          <w:p w14:paraId="34CB7B7C" w14:textId="77777777" w:rsidR="009E5A02" w:rsidRPr="009E5A02" w:rsidRDefault="009E5A02">
            <w:pPr>
              <w:rPr>
                <w:rFonts w:cs="Arial"/>
              </w:rPr>
            </w:pPr>
            <w:r w:rsidRPr="009E5A02">
              <w:rPr>
                <w:rFonts w:cs="Arial"/>
              </w:rPr>
              <w:t xml:space="preserve">Documentation of a spinal cord injury prior to the hospital encounter. </w:t>
            </w:r>
            <w:r w:rsidRPr="009E5A02">
              <w:rPr>
                <w:rFonts w:cs="Arial"/>
              </w:rPr>
              <w:br/>
              <w:t xml:space="preserve">INCLUDE: Spina Bifida, cerebral palsy </w:t>
            </w:r>
            <w:r w:rsidRPr="009E5A02">
              <w:rPr>
                <w:rFonts w:cs="Arial"/>
              </w:rPr>
              <w:br/>
              <w:t>EXCLUDE: Paralysis due to spinal stenosis.</w:t>
            </w:r>
          </w:p>
        </w:tc>
      </w:tr>
      <w:tr w:rsidR="009E5A02" w:rsidRPr="009E5A02" w14:paraId="5238E9CF" w14:textId="77777777" w:rsidTr="00911192">
        <w:trPr>
          <w:trHeight w:val="300"/>
        </w:trPr>
        <w:tc>
          <w:tcPr>
            <w:tcW w:w="3226" w:type="dxa"/>
            <w:vMerge w:val="restart"/>
            <w:hideMark/>
          </w:tcPr>
          <w:p w14:paraId="10C5B30E" w14:textId="77777777" w:rsidR="009E5A02" w:rsidRPr="009E5A02" w:rsidRDefault="009E5A02">
            <w:pPr>
              <w:rPr>
                <w:rFonts w:cs="Arial"/>
              </w:rPr>
            </w:pPr>
            <w:r w:rsidRPr="009E5A02">
              <w:rPr>
                <w:rFonts w:cs="Arial"/>
              </w:rPr>
              <w:t>Had a UTI complication (e.g., perinephric abscess)</w:t>
            </w:r>
          </w:p>
        </w:tc>
        <w:tc>
          <w:tcPr>
            <w:tcW w:w="11164" w:type="dxa"/>
            <w:hideMark/>
          </w:tcPr>
          <w:p w14:paraId="0B72E7F2" w14:textId="77777777" w:rsidR="009E5A02" w:rsidRPr="009E5A02" w:rsidRDefault="009E5A02">
            <w:pPr>
              <w:rPr>
                <w:rFonts w:cs="Arial"/>
              </w:rPr>
            </w:pPr>
            <w:r w:rsidRPr="009E5A02">
              <w:rPr>
                <w:rFonts w:cs="Arial"/>
              </w:rPr>
              <w:t>Prescribed &gt;14 days of antibiotics (excluding topical antibiotics or other exceptions below) at discharge. Antibiotic exceptions:</w:t>
            </w:r>
          </w:p>
        </w:tc>
      </w:tr>
      <w:tr w:rsidR="009E5A02" w:rsidRPr="009E5A02" w14:paraId="7116CBA0" w14:textId="77777777" w:rsidTr="000178D6">
        <w:trPr>
          <w:trHeight w:val="440"/>
        </w:trPr>
        <w:tc>
          <w:tcPr>
            <w:tcW w:w="3226" w:type="dxa"/>
            <w:vMerge/>
            <w:hideMark/>
          </w:tcPr>
          <w:p w14:paraId="6C6E7B32" w14:textId="77777777" w:rsidR="009E5A02" w:rsidRPr="009E5A02" w:rsidRDefault="009E5A02">
            <w:pPr>
              <w:rPr>
                <w:rFonts w:cs="Arial"/>
              </w:rPr>
            </w:pPr>
          </w:p>
        </w:tc>
        <w:tc>
          <w:tcPr>
            <w:tcW w:w="11164" w:type="dxa"/>
            <w:hideMark/>
          </w:tcPr>
          <w:p w14:paraId="65791490" w14:textId="59A39713" w:rsidR="009E5A02" w:rsidRPr="009E5A02" w:rsidRDefault="00B62D9B" w:rsidP="00B62D9B">
            <w:pPr>
              <w:ind w:left="144"/>
              <w:rPr>
                <w:rFonts w:cs="Arial"/>
              </w:rPr>
            </w:pPr>
            <w:r>
              <w:rPr>
                <w:rFonts w:cs="Arial"/>
              </w:rPr>
              <w:t>T</w:t>
            </w:r>
            <w:r w:rsidR="009E5A02" w:rsidRPr="009E5A02">
              <w:rPr>
                <w:rFonts w:cs="Arial"/>
              </w:rPr>
              <w:t>opical antibiotics include ointments (e.g., erythromycin ointment), salves, powders and ophthalmic (eye) drops or ear drops (e.g., Ciprofloxacin ophthalmic solution).</w:t>
            </w:r>
          </w:p>
        </w:tc>
      </w:tr>
      <w:tr w:rsidR="009E5A02" w:rsidRPr="009E5A02" w14:paraId="5252730B" w14:textId="77777777" w:rsidTr="000178D6">
        <w:trPr>
          <w:trHeight w:val="467"/>
        </w:trPr>
        <w:tc>
          <w:tcPr>
            <w:tcW w:w="3226" w:type="dxa"/>
            <w:vMerge/>
            <w:hideMark/>
          </w:tcPr>
          <w:p w14:paraId="128EA7DF" w14:textId="77777777" w:rsidR="009E5A02" w:rsidRPr="009E5A02" w:rsidRDefault="009E5A02">
            <w:pPr>
              <w:rPr>
                <w:rFonts w:cs="Arial"/>
              </w:rPr>
            </w:pPr>
          </w:p>
        </w:tc>
        <w:tc>
          <w:tcPr>
            <w:tcW w:w="11164" w:type="dxa"/>
            <w:hideMark/>
          </w:tcPr>
          <w:p w14:paraId="05CADB79" w14:textId="70BE7DE3" w:rsidR="009E5A02" w:rsidRPr="009E5A02" w:rsidRDefault="00B62D9B" w:rsidP="00B62D9B">
            <w:pPr>
              <w:ind w:left="144"/>
              <w:rPr>
                <w:rFonts w:cs="Arial"/>
              </w:rPr>
            </w:pPr>
            <w:r>
              <w:rPr>
                <w:rFonts w:cs="Arial"/>
              </w:rPr>
              <w:t>P</w:t>
            </w:r>
            <w:r w:rsidR="009E5A02" w:rsidRPr="009E5A02">
              <w:rPr>
                <w:rFonts w:cs="Arial"/>
              </w:rPr>
              <w:t xml:space="preserve">atients who receive antibiotics given for conditions which are not concomitant infections such as Common Variable Immune Deficiency (CVID), rosacea, hepatic encephalopathy, non-alcoholic steatohepatitis (NASH), rheumatoid arthritis (RA), and syndrome of inappropriate antidiuretic hormone secretion (SIADH) are eligible.  </w:t>
            </w:r>
          </w:p>
        </w:tc>
      </w:tr>
      <w:tr w:rsidR="009E5A02" w:rsidRPr="009E5A02" w14:paraId="4EDE014F" w14:textId="77777777" w:rsidTr="00911192">
        <w:trPr>
          <w:trHeight w:val="312"/>
        </w:trPr>
        <w:tc>
          <w:tcPr>
            <w:tcW w:w="3226" w:type="dxa"/>
            <w:vMerge/>
            <w:hideMark/>
          </w:tcPr>
          <w:p w14:paraId="40144EC7" w14:textId="77777777" w:rsidR="009E5A02" w:rsidRPr="009E5A02" w:rsidRDefault="009E5A02">
            <w:pPr>
              <w:rPr>
                <w:rFonts w:cs="Arial"/>
              </w:rPr>
            </w:pPr>
          </w:p>
        </w:tc>
        <w:tc>
          <w:tcPr>
            <w:tcW w:w="11164" w:type="dxa"/>
            <w:hideMark/>
          </w:tcPr>
          <w:p w14:paraId="661F03B4" w14:textId="76ED7C3E" w:rsidR="00911192" w:rsidRPr="009E5A02" w:rsidRDefault="00B62D9B" w:rsidP="00911192">
            <w:pPr>
              <w:ind w:left="144"/>
              <w:rPr>
                <w:rFonts w:cs="Arial"/>
              </w:rPr>
            </w:pPr>
            <w:r w:rsidRPr="009E5A02">
              <w:rPr>
                <w:rFonts w:cs="Arial"/>
              </w:rPr>
              <w:t>Antibiotics</w:t>
            </w:r>
            <w:r w:rsidR="009E5A02" w:rsidRPr="009E5A02">
              <w:rPr>
                <w:rFonts w:cs="Arial"/>
              </w:rPr>
              <w:t xml:space="preserve"> directed at prevention/treatment of </w:t>
            </w:r>
            <w:r w:rsidR="009E5A02" w:rsidRPr="009E5A02">
              <w:rPr>
                <w:rFonts w:cs="Arial"/>
                <w:i/>
                <w:iCs/>
              </w:rPr>
              <w:t>C difficile</w:t>
            </w:r>
            <w:r w:rsidR="009E5A02" w:rsidRPr="009E5A02">
              <w:rPr>
                <w:rFonts w:cs="Arial"/>
              </w:rPr>
              <w:t xml:space="preserve"> infections</w:t>
            </w:r>
          </w:p>
        </w:tc>
      </w:tr>
    </w:tbl>
    <w:p w14:paraId="4803AB28" w14:textId="70AC4F5D" w:rsidR="00417253" w:rsidRDefault="00417253" w:rsidP="00417253">
      <w:pPr>
        <w:spacing w:before="120"/>
        <w:rPr>
          <w:rFonts w:cs="Arial"/>
        </w:rPr>
      </w:pPr>
      <w:r>
        <w:rPr>
          <w:rFonts w:cs="Arial"/>
        </w:rPr>
        <w:t xml:space="preserve">If any of the Inclusion Criteria are not met, the following message will appear: </w:t>
      </w:r>
      <w:r>
        <w:rPr>
          <w:color w:val="E03E2D"/>
        </w:rPr>
        <w:t>This case is excluded. Please move on to the next case review. Please scroll to the bottom of this form and click 'submit' and move on to the next case review by clicking on the link (</w:t>
      </w:r>
      <w:hyperlink r:id="rId9" w:tgtFrame="_blank" w:history="1">
        <w:r>
          <w:rPr>
            <w:rStyle w:val="Hyperlink"/>
          </w:rPr>
          <w:t>https://redcap.link/Case_Abstraction_Form</w:t>
        </w:r>
      </w:hyperlink>
      <w:r>
        <w:rPr>
          <w:color w:val="E03E2D"/>
        </w:rPr>
        <w:t xml:space="preserve">). </w:t>
      </w:r>
      <w:r>
        <w:rPr>
          <w:rFonts w:cs="Arial"/>
        </w:rPr>
        <w:t>Please remember to click “Submit”, even for cases that do not meet inclusion/exclusion criteria.</w:t>
      </w:r>
    </w:p>
    <w:p w14:paraId="1D6DA503" w14:textId="7808F17E" w:rsidR="00417253" w:rsidRDefault="00417253" w:rsidP="00417253">
      <w:r w:rsidRPr="00417253">
        <w:rPr>
          <w:rFonts w:cs="Arial"/>
          <w:b/>
          <w:bCs/>
        </w:rPr>
        <w:t>Was the patient breastfeeding?</w:t>
      </w:r>
      <w:r>
        <w:rPr>
          <w:rFonts w:cs="Arial"/>
        </w:rPr>
        <w:t xml:space="preserve"> </w:t>
      </w:r>
      <w:r w:rsidRPr="009E5A02">
        <w:rPr>
          <w:rFonts w:cs="Arial"/>
        </w:rPr>
        <w:t xml:space="preserve">Documentation </w:t>
      </w:r>
      <w:r>
        <w:rPr>
          <w:rFonts w:cs="Arial"/>
        </w:rPr>
        <w:t>of breastfeeding</w:t>
      </w:r>
      <w:r w:rsidRPr="009E5A02">
        <w:rPr>
          <w:rFonts w:cs="Arial"/>
        </w:rPr>
        <w:t xml:space="preserve"> </w:t>
      </w:r>
      <w:r w:rsidRPr="00F4566F">
        <w:rPr>
          <w:rFonts w:cs="Arial"/>
        </w:rPr>
        <w:t xml:space="preserve">during </w:t>
      </w:r>
      <w:r w:rsidRPr="000178D6">
        <w:rPr>
          <w:rFonts w:cs="Arial"/>
        </w:rPr>
        <w:t>or within 30 days prior to</w:t>
      </w:r>
      <w:r w:rsidRPr="00F4566F">
        <w:rPr>
          <w:rFonts w:cs="Arial"/>
        </w:rPr>
        <w:t xml:space="preserve"> the</w:t>
      </w:r>
      <w:r w:rsidRPr="009E5A02">
        <w:rPr>
          <w:rFonts w:cs="Arial"/>
        </w:rPr>
        <w:t xml:space="preserve"> hospital encounter</w:t>
      </w:r>
      <w:r>
        <w:rPr>
          <w:rFonts w:cs="Arial"/>
        </w:rPr>
        <w:t xml:space="preserve"> (Yes, </w:t>
      </w:r>
      <w:proofErr w:type="gramStart"/>
      <w:r>
        <w:rPr>
          <w:rFonts w:cs="Arial"/>
        </w:rPr>
        <w:t>No</w:t>
      </w:r>
      <w:proofErr w:type="gramEnd"/>
      <w:r>
        <w:rPr>
          <w:rFonts w:cs="Arial"/>
        </w:rPr>
        <w:t>, N/A, Unknown)</w:t>
      </w:r>
      <w:r w:rsidRPr="009E5A02">
        <w:rPr>
          <w:rFonts w:cs="Arial"/>
        </w:rPr>
        <w:t>.</w:t>
      </w:r>
    </w:p>
    <w:p w14:paraId="2343E2FE" w14:textId="66CF6AE8" w:rsidR="00674A0A" w:rsidRDefault="00674A0A" w:rsidP="009202F4">
      <w:pPr>
        <w:pStyle w:val="Heading1"/>
        <w:spacing w:before="120"/>
      </w:pPr>
      <w:bookmarkStart w:id="11" w:name="_Toc115178816"/>
      <w:r>
        <w:t>Hospitalization</w:t>
      </w:r>
      <w:bookmarkEnd w:id="11"/>
    </w:p>
    <w:p w14:paraId="571ECE28" w14:textId="4D35F7AD" w:rsidR="00674A0A" w:rsidRDefault="00674A0A" w:rsidP="009202F4">
      <w:pPr>
        <w:pStyle w:val="Heading2"/>
        <w:spacing w:line="240" w:lineRule="auto"/>
      </w:pPr>
      <w:bookmarkStart w:id="12" w:name="_Toc115178817"/>
      <w:r>
        <w:t>Location at the time of culture</w:t>
      </w:r>
      <w:bookmarkEnd w:id="12"/>
    </w:p>
    <w:p w14:paraId="2AF67B2F" w14:textId="3268950C" w:rsidR="00674A0A" w:rsidRDefault="00674A0A" w:rsidP="009202F4">
      <w:pPr>
        <w:spacing w:after="0" w:line="240" w:lineRule="auto"/>
      </w:pPr>
      <w:r>
        <w:t>Indicate the setting in which the urine culture was obtained. If cultures were obtained outside the inpatient or ED setting, the following message will appear.</w:t>
      </w:r>
    </w:p>
    <w:p w14:paraId="409AF49C" w14:textId="70D7FFD5" w:rsidR="00674A0A" w:rsidRDefault="00674A0A" w:rsidP="009202F4">
      <w:pPr>
        <w:spacing w:after="120" w:line="240" w:lineRule="auto"/>
      </w:pPr>
      <w:r>
        <w:t>“</w:t>
      </w:r>
      <w:r w:rsidRPr="00417253">
        <w:rPr>
          <w:color w:val="FF0000"/>
        </w:rPr>
        <w:t xml:space="preserve">If possible, all case abstractions should be for patients treated in the hospital/acute care setting or the ED. </w:t>
      </w:r>
      <w:r w:rsidRPr="00417253">
        <w:rPr>
          <w:color w:val="FF0000"/>
          <w:u w:val="single"/>
        </w:rPr>
        <w:t>If your hospital does not have enough of these cases and you have discussed this with the study team, then please continue with case abstraction</w:t>
      </w:r>
      <w:r w:rsidRPr="00417253">
        <w:rPr>
          <w:color w:val="FF0000"/>
        </w:rPr>
        <w:t>. Otherwise, please select the next patient who was treated in the hospital/acute care setting or the ED</w:t>
      </w:r>
      <w:r>
        <w:t>”</w:t>
      </w:r>
      <w:r w:rsidRPr="00674A0A">
        <w:t>.</w:t>
      </w:r>
      <w:r w:rsidR="00214642">
        <w:t xml:space="preserve"> </w:t>
      </w:r>
      <w:r>
        <w:t>Please contact the study team if your hospital does not have enough cases from the inpatient or ED setting to meet abstraction goals.</w:t>
      </w:r>
    </w:p>
    <w:p w14:paraId="6B77EAC2" w14:textId="633795D2" w:rsidR="00674A0A" w:rsidRDefault="00674A0A" w:rsidP="00674A0A">
      <w:pPr>
        <w:pStyle w:val="Heading2"/>
      </w:pPr>
      <w:bookmarkStart w:id="13" w:name="_Toc115178818"/>
      <w:r>
        <w:lastRenderedPageBreak/>
        <w:t>Was the culture reflexed from a urinalysis (UA)?</w:t>
      </w:r>
      <w:bookmarkEnd w:id="13"/>
    </w:p>
    <w:p w14:paraId="667B7C6B" w14:textId="1A0A9C6C" w:rsidR="00674A0A" w:rsidRDefault="00674A0A" w:rsidP="00674A0A">
      <w:r>
        <w:t>Indicate whether this was a reflex culture (yes or no).</w:t>
      </w:r>
    </w:p>
    <w:p w14:paraId="241F8C04" w14:textId="4AD0DAA3" w:rsidR="00674A0A" w:rsidRDefault="00674A0A" w:rsidP="00674A0A">
      <w:pPr>
        <w:pStyle w:val="Heading2"/>
      </w:pPr>
      <w:bookmarkStart w:id="14" w:name="_Toc115178819"/>
      <w:r>
        <w:t>Date of Hospital Encounter:</w:t>
      </w:r>
      <w:bookmarkEnd w:id="14"/>
    </w:p>
    <w:p w14:paraId="49608C4F" w14:textId="61C90CFC" w:rsidR="00BE100F" w:rsidRPr="00BE100F" w:rsidRDefault="00BE100F" w:rsidP="00BE100F">
      <w:r w:rsidRPr="00BE100F">
        <w:t>Review the medical record to determine the date the patient first entered the hospital system (or the date the patient made first contact with the hospital, [ER, observation unit, inpatient]). Indicate the date in the mm/dd/</w:t>
      </w:r>
      <w:proofErr w:type="spellStart"/>
      <w:r w:rsidRPr="00BE100F">
        <w:t>yyyy</w:t>
      </w:r>
      <w:proofErr w:type="spellEnd"/>
      <w:r w:rsidRPr="00BE100F">
        <w:t xml:space="preserve"> format).</w:t>
      </w:r>
    </w:p>
    <w:p w14:paraId="42FB8C33" w14:textId="473E56FF" w:rsidR="00BE100F" w:rsidRDefault="00674A0A" w:rsidP="00BE100F">
      <w:pPr>
        <w:pStyle w:val="Heading2"/>
        <w:spacing w:before="240"/>
      </w:pPr>
      <w:bookmarkStart w:id="15" w:name="_Toc115178820"/>
      <w:r>
        <w:t>Date of Admission to Hospital:</w:t>
      </w:r>
      <w:bookmarkEnd w:id="15"/>
    </w:p>
    <w:p w14:paraId="3D9C3FA4" w14:textId="2C5CE33D" w:rsidR="00BE100F" w:rsidRPr="00BE100F" w:rsidRDefault="00BE100F" w:rsidP="00BE100F">
      <w:r w:rsidRPr="00BE100F">
        <w:t>Review the medical record to determine the date the patient was admitted to the hospital as an inpatient status. Do not record the date the patient arrived in the emergency room or was admitted to an observation unit as the date of inpatient admission. Record the date in mm/dd/</w:t>
      </w:r>
      <w:proofErr w:type="spellStart"/>
      <w:r w:rsidRPr="00BE100F">
        <w:t>yyyy</w:t>
      </w:r>
      <w:proofErr w:type="spellEnd"/>
      <w:r w:rsidRPr="00BE100F">
        <w:t xml:space="preserve"> format.</w:t>
      </w:r>
    </w:p>
    <w:p w14:paraId="6D44F653" w14:textId="20336B47" w:rsidR="00674A0A" w:rsidRDefault="00674A0A" w:rsidP="00BE100F">
      <w:pPr>
        <w:pStyle w:val="Heading2"/>
        <w:spacing w:before="240"/>
      </w:pPr>
      <w:bookmarkStart w:id="16" w:name="_Toc115178821"/>
      <w:r>
        <w:t>Date first positive urine culture was collected:</w:t>
      </w:r>
      <w:r w:rsidR="00B913F4">
        <w:t xml:space="preserve"> This is defined as Day 0</w:t>
      </w:r>
      <w:bookmarkEnd w:id="16"/>
    </w:p>
    <w:p w14:paraId="5F7A235B" w14:textId="505AC253" w:rsidR="00674A0A" w:rsidRDefault="00BE100F" w:rsidP="00674A0A">
      <w:r w:rsidRPr="00BE100F">
        <w:t>Review the medical record to determine the date first positive urine culture was collected/drawn</w:t>
      </w:r>
      <w:r>
        <w:t xml:space="preserve">. </w:t>
      </w:r>
      <w:r w:rsidR="00674A0A">
        <w:t>This is the collection date, NOT the date the positive urine culture was reported</w:t>
      </w:r>
      <w:r w:rsidR="009228C7">
        <w:t xml:space="preserve"> or ordered</w:t>
      </w:r>
      <w:r w:rsidR="00674A0A">
        <w:t>.</w:t>
      </w:r>
    </w:p>
    <w:p w14:paraId="100351A6" w14:textId="69304B10" w:rsidR="00674A0A" w:rsidRDefault="00674A0A" w:rsidP="00674A0A">
      <w:pPr>
        <w:pStyle w:val="Heading2"/>
      </w:pPr>
      <w:bookmarkStart w:id="17" w:name="_Toc115178822"/>
      <w:r>
        <w:t>Date of Discharge from Hospital:</w:t>
      </w:r>
      <w:bookmarkEnd w:id="17"/>
    </w:p>
    <w:p w14:paraId="7CBC882A" w14:textId="559E27CA" w:rsidR="00BE100F" w:rsidRPr="00BE100F" w:rsidRDefault="00BE100F" w:rsidP="00BE100F">
      <w:r w:rsidRPr="00BE100F">
        <w:t>Review the medical record to determine the date the patient was discharged from the hospital encounter. If the patient is deceased (during the hospital encounter), this would be the date of death. If the patient was transferred to the intensive care unit (ICU), this would be the date the patient was eventually discharged from the hospital after their stay in the ICU. Indicate the date in the mm/dd/</w:t>
      </w:r>
      <w:proofErr w:type="spellStart"/>
      <w:r w:rsidRPr="00BE100F">
        <w:t>yyyy</w:t>
      </w:r>
      <w:proofErr w:type="spellEnd"/>
      <w:r w:rsidRPr="00BE100F">
        <w:t xml:space="preserve"> format.</w:t>
      </w:r>
    </w:p>
    <w:p w14:paraId="3A51DF1F" w14:textId="5CE0F096" w:rsidR="00674A0A" w:rsidRDefault="00674A0A" w:rsidP="00674A0A">
      <w:pPr>
        <w:pStyle w:val="Heading1"/>
      </w:pPr>
      <w:bookmarkStart w:id="18" w:name="_Toc115178823"/>
      <w:r>
        <w:t>Demographics</w:t>
      </w:r>
      <w:bookmarkEnd w:id="18"/>
    </w:p>
    <w:p w14:paraId="362DA806" w14:textId="77777777" w:rsidR="00B913F4" w:rsidRDefault="00674A0A" w:rsidP="00674A0A">
      <w:r>
        <w:t xml:space="preserve">Report demographics at time of hospital admission from the medical record: </w:t>
      </w:r>
    </w:p>
    <w:p w14:paraId="0D7C1B60" w14:textId="322FF5EC" w:rsidR="00B913F4" w:rsidRDefault="00674A0A" w:rsidP="00B913F4">
      <w:pPr>
        <w:spacing w:after="120" w:line="240" w:lineRule="auto"/>
      </w:pPr>
      <w:r w:rsidRPr="00B913F4">
        <w:rPr>
          <w:u w:val="single"/>
        </w:rPr>
        <w:t>Age</w:t>
      </w:r>
      <w:r w:rsidR="00B913F4">
        <w:t xml:space="preserve"> on date of admission</w:t>
      </w:r>
      <w:r>
        <w:t xml:space="preserve"> in years (range of 18-100)</w:t>
      </w:r>
    </w:p>
    <w:p w14:paraId="5558F692" w14:textId="3A541F60" w:rsidR="00B913F4" w:rsidRDefault="00674A0A" w:rsidP="00B913F4">
      <w:pPr>
        <w:spacing w:after="120" w:line="240" w:lineRule="auto"/>
      </w:pPr>
      <w:r w:rsidRPr="00B913F4">
        <w:rPr>
          <w:u w:val="single"/>
        </w:rPr>
        <w:t>Sex</w:t>
      </w:r>
      <w:r>
        <w:t xml:space="preserve"> (Male, Female, Other or Not Specified)</w:t>
      </w:r>
    </w:p>
    <w:p w14:paraId="5CD313E3" w14:textId="06805C12" w:rsidR="00B913F4" w:rsidRDefault="00674A0A" w:rsidP="00B913F4">
      <w:pPr>
        <w:spacing w:after="120" w:line="240" w:lineRule="auto"/>
      </w:pPr>
      <w:r w:rsidRPr="00B913F4">
        <w:rPr>
          <w:u w:val="single"/>
        </w:rPr>
        <w:t>Race</w:t>
      </w:r>
      <w:r>
        <w:t xml:space="preserve"> (White, Black, Asian, Pacific Islander, American Indian or Alaska Native, Multiracial, Other, or Unknown/Not Specified)</w:t>
      </w:r>
    </w:p>
    <w:p w14:paraId="68714884" w14:textId="02B0CA3F" w:rsidR="00214642" w:rsidRDefault="00674A0A" w:rsidP="00B913F4">
      <w:pPr>
        <w:spacing w:after="120" w:line="240" w:lineRule="auto"/>
      </w:pPr>
      <w:r w:rsidRPr="00B913F4">
        <w:rPr>
          <w:u w:val="single"/>
        </w:rPr>
        <w:t>Ethnicity</w:t>
      </w:r>
      <w:r>
        <w:t xml:space="preserve"> (Hispanic/Latinx, Not Hispanic/Latinx, or Unknown/Not Specified) </w:t>
      </w:r>
    </w:p>
    <w:p w14:paraId="534B8277" w14:textId="77777777" w:rsidR="00214642" w:rsidRDefault="00214642">
      <w:r>
        <w:br w:type="page"/>
      </w:r>
    </w:p>
    <w:p w14:paraId="3D2B8402" w14:textId="289D5A2D" w:rsidR="00674A0A" w:rsidRDefault="00674A0A" w:rsidP="00467E9A">
      <w:pPr>
        <w:pStyle w:val="Heading1"/>
        <w:spacing w:after="120"/>
      </w:pPr>
      <w:bookmarkStart w:id="19" w:name="_Toc115178824"/>
      <w:r>
        <w:lastRenderedPageBreak/>
        <w:t>Co-Morbidities</w:t>
      </w:r>
      <w:bookmarkEnd w:id="19"/>
    </w:p>
    <w:tbl>
      <w:tblPr>
        <w:tblStyle w:val="TableGrid"/>
        <w:tblW w:w="0" w:type="auto"/>
        <w:tblLook w:val="04A0" w:firstRow="1" w:lastRow="0" w:firstColumn="1" w:lastColumn="0" w:noHBand="0" w:noVBand="1"/>
      </w:tblPr>
      <w:tblGrid>
        <w:gridCol w:w="4765"/>
        <w:gridCol w:w="9625"/>
      </w:tblGrid>
      <w:tr w:rsidR="00674A0A" w:rsidRPr="00674A0A" w14:paraId="3FC7DA27" w14:textId="77777777" w:rsidTr="00467E9A">
        <w:trPr>
          <w:cantSplit/>
          <w:trHeight w:val="360"/>
          <w:tblHeader/>
        </w:trPr>
        <w:tc>
          <w:tcPr>
            <w:tcW w:w="4765" w:type="dxa"/>
            <w:noWrap/>
            <w:hideMark/>
          </w:tcPr>
          <w:p w14:paraId="4C5605FF" w14:textId="77777777" w:rsidR="00674A0A" w:rsidRPr="00674A0A" w:rsidRDefault="00674A0A">
            <w:pPr>
              <w:rPr>
                <w:b/>
                <w:bCs/>
              </w:rPr>
            </w:pPr>
            <w:r w:rsidRPr="00674A0A">
              <w:rPr>
                <w:b/>
                <w:bCs/>
              </w:rPr>
              <w:t>General Co-Morbidities</w:t>
            </w:r>
          </w:p>
        </w:tc>
        <w:tc>
          <w:tcPr>
            <w:tcW w:w="9625" w:type="dxa"/>
            <w:noWrap/>
            <w:hideMark/>
          </w:tcPr>
          <w:p w14:paraId="1B30F230" w14:textId="77777777" w:rsidR="00674A0A" w:rsidRPr="00674A0A" w:rsidRDefault="00674A0A">
            <w:pPr>
              <w:rPr>
                <w:b/>
                <w:bCs/>
              </w:rPr>
            </w:pPr>
            <w:r w:rsidRPr="00674A0A">
              <w:rPr>
                <w:b/>
                <w:bCs/>
              </w:rPr>
              <w:t>Criteria</w:t>
            </w:r>
          </w:p>
        </w:tc>
      </w:tr>
      <w:tr w:rsidR="00674A0A" w:rsidRPr="00674A0A" w14:paraId="205014AA" w14:textId="77777777" w:rsidTr="009202F4">
        <w:trPr>
          <w:trHeight w:val="548"/>
        </w:trPr>
        <w:tc>
          <w:tcPr>
            <w:tcW w:w="4765" w:type="dxa"/>
            <w:noWrap/>
            <w:hideMark/>
          </w:tcPr>
          <w:p w14:paraId="7108E547" w14:textId="77777777" w:rsidR="00674A0A" w:rsidRPr="00674A0A" w:rsidRDefault="00674A0A">
            <w:r w:rsidRPr="00674A0A">
              <w:t>Diabetes</w:t>
            </w:r>
          </w:p>
        </w:tc>
        <w:tc>
          <w:tcPr>
            <w:tcW w:w="9625" w:type="dxa"/>
            <w:hideMark/>
          </w:tcPr>
          <w:p w14:paraId="7D50D032" w14:textId="781AE7F1" w:rsidR="00674A0A" w:rsidRPr="00674A0A" w:rsidRDefault="00674A0A">
            <w:r w:rsidRPr="00674A0A">
              <w:t xml:space="preserve">Review the medical record to determine if the patient has </w:t>
            </w:r>
            <w:r w:rsidR="008E4C0B">
              <w:t xml:space="preserve">type 1 or type 2 </w:t>
            </w:r>
            <w:r w:rsidRPr="00674A0A">
              <w:t xml:space="preserve">diabetes </w:t>
            </w:r>
            <w:r w:rsidR="008E4C0B">
              <w:t>during the hospitalization. This includes patients treated for diabetes who have a normal A1C.</w:t>
            </w:r>
            <w:r w:rsidRPr="00674A0A">
              <w:t xml:space="preserve"> </w:t>
            </w:r>
          </w:p>
        </w:tc>
      </w:tr>
      <w:tr w:rsidR="00674A0A" w:rsidRPr="00674A0A" w14:paraId="695C1F4E" w14:textId="77777777" w:rsidTr="00674A0A">
        <w:trPr>
          <w:trHeight w:val="576"/>
        </w:trPr>
        <w:tc>
          <w:tcPr>
            <w:tcW w:w="4765" w:type="dxa"/>
            <w:noWrap/>
            <w:hideMark/>
          </w:tcPr>
          <w:p w14:paraId="324AD6A4" w14:textId="285BFB51" w:rsidR="00674A0A" w:rsidRPr="00674A0A" w:rsidRDefault="00674A0A">
            <w:r>
              <w:t>End Stage Renal Disease (ESRD)</w:t>
            </w:r>
          </w:p>
        </w:tc>
        <w:tc>
          <w:tcPr>
            <w:tcW w:w="9625" w:type="dxa"/>
            <w:hideMark/>
          </w:tcPr>
          <w:p w14:paraId="7C191589" w14:textId="3B40F5CC" w:rsidR="00674A0A" w:rsidRPr="00674A0A" w:rsidRDefault="00674A0A">
            <w:r w:rsidRPr="00674A0A">
              <w:t>Review the medical record to determine if the patient</w:t>
            </w:r>
            <w:r w:rsidR="008E4C0B">
              <w:t xml:space="preserve"> has end stage diabetes (i.e., is on dialysis) during the hospitalization.</w:t>
            </w:r>
          </w:p>
        </w:tc>
      </w:tr>
      <w:tr w:rsidR="00674A0A" w:rsidRPr="00674A0A" w14:paraId="06187458" w14:textId="77777777" w:rsidTr="00674A0A">
        <w:trPr>
          <w:trHeight w:val="2652"/>
        </w:trPr>
        <w:tc>
          <w:tcPr>
            <w:tcW w:w="4765" w:type="dxa"/>
            <w:noWrap/>
            <w:hideMark/>
          </w:tcPr>
          <w:p w14:paraId="5C3A0ADD" w14:textId="77777777" w:rsidR="00674A0A" w:rsidRPr="00674A0A" w:rsidRDefault="00674A0A">
            <w:r w:rsidRPr="00674A0A">
              <w:t>Dementia</w:t>
            </w:r>
          </w:p>
        </w:tc>
        <w:tc>
          <w:tcPr>
            <w:tcW w:w="9625" w:type="dxa"/>
            <w:hideMark/>
          </w:tcPr>
          <w:p w14:paraId="26FE6690" w14:textId="38BDE022" w:rsidR="008E4C0B" w:rsidRDefault="00674A0A">
            <w:r w:rsidRPr="00674A0A">
              <w:t xml:space="preserve">Review the medical record to determine if the patient has </w:t>
            </w:r>
            <w:r w:rsidR="008E4C0B">
              <w:t xml:space="preserve">documented </w:t>
            </w:r>
            <w:r w:rsidRPr="00674A0A">
              <w:t>dementia</w:t>
            </w:r>
            <w:r w:rsidR="008E4C0B">
              <w:t xml:space="preserve"> during hospitalization</w:t>
            </w:r>
            <w:r w:rsidRPr="00674A0A">
              <w:t>. Examples include (but are not limited to) loss of cognitive function due to illness - Alzheimer's, cerebral anoxia, chronic alcoholism, CO</w:t>
            </w:r>
            <w:r w:rsidRPr="00674A0A">
              <w:rPr>
                <w:vertAlign w:val="subscript"/>
              </w:rPr>
              <w:t>2</w:t>
            </w:r>
            <w:r w:rsidRPr="00674A0A">
              <w:t xml:space="preserve"> poisoning, hypothyroidism, multiple brain infarcts, vascular dementia, Parkinson's, subdural hematoma, Vitamin B</w:t>
            </w:r>
            <w:r w:rsidRPr="00674A0A">
              <w:rPr>
                <w:vertAlign w:val="subscript"/>
              </w:rPr>
              <w:t>12</w:t>
            </w:r>
            <w:r w:rsidRPr="00674A0A">
              <w:t xml:space="preserve"> deficiency; </w:t>
            </w:r>
            <w:r w:rsidR="0018762D">
              <w:t>v</w:t>
            </w:r>
            <w:r w:rsidRPr="00674A0A">
              <w:t>ascular dementia. Exclude temporary loss of cognitive function, acute delirium, drug</w:t>
            </w:r>
            <w:r w:rsidR="00B913F4">
              <w:t>-</w:t>
            </w:r>
            <w:r w:rsidRPr="00674A0A">
              <w:t>related delirium or withdrawal, developmental delay</w:t>
            </w:r>
            <w:r w:rsidR="0018762D">
              <w:t>,</w:t>
            </w:r>
            <w:r w:rsidRPr="00674A0A">
              <w:t xml:space="preserve"> or cognitive impairment.</w:t>
            </w:r>
          </w:p>
          <w:p w14:paraId="18657ED7" w14:textId="77777777" w:rsidR="008E4C0B" w:rsidRDefault="008E4C0B"/>
          <w:p w14:paraId="39BF9734" w14:textId="2938A932" w:rsidR="00674A0A" w:rsidRPr="00674A0A" w:rsidRDefault="00674A0A">
            <w:r w:rsidRPr="00674A0A">
              <w:t>Note: Only select if patient has long</w:t>
            </w:r>
            <w:r w:rsidR="00A86E4F">
              <w:t>-</w:t>
            </w:r>
            <w:r w:rsidRPr="00674A0A">
              <w:t>term cognitive dysfunction. For example, some patients with Alzheimer's or Parkinson's have long</w:t>
            </w:r>
            <w:r w:rsidR="00A86E4F">
              <w:t>-</w:t>
            </w:r>
            <w:r w:rsidRPr="00674A0A">
              <w:t xml:space="preserve">term cognitive dysfunction related to the disease and, in this case, it would be appropriate to select this field. However, some patients have Parkinson's without dementia, and in that scenario, it would not be appropriate to select this field. </w:t>
            </w:r>
          </w:p>
        </w:tc>
      </w:tr>
      <w:tr w:rsidR="00674A0A" w:rsidRPr="00674A0A" w14:paraId="2E433382" w14:textId="77777777" w:rsidTr="00674A0A">
        <w:trPr>
          <w:trHeight w:val="1164"/>
        </w:trPr>
        <w:tc>
          <w:tcPr>
            <w:tcW w:w="4765" w:type="dxa"/>
            <w:hideMark/>
          </w:tcPr>
          <w:p w14:paraId="73340E43" w14:textId="77777777" w:rsidR="00674A0A" w:rsidRPr="00674A0A" w:rsidRDefault="00674A0A">
            <w:r w:rsidRPr="00674A0A">
              <w:t>Admitted from skilled nursing facility (SNF) or long-term assisted care facility (LTAC)</w:t>
            </w:r>
          </w:p>
        </w:tc>
        <w:tc>
          <w:tcPr>
            <w:tcW w:w="9625" w:type="dxa"/>
            <w:hideMark/>
          </w:tcPr>
          <w:p w14:paraId="2F140652" w14:textId="6F5E5B16" w:rsidR="00674A0A" w:rsidRPr="00674A0A" w:rsidRDefault="00674A0A">
            <w:r w:rsidRPr="00674A0A">
              <w:t>Please review the medical record to determine if the patient was transferred to the hospital from another</w:t>
            </w:r>
            <w:r w:rsidR="008E4C0B">
              <w:t xml:space="preserve"> skilled</w:t>
            </w:r>
            <w:r w:rsidRPr="00674A0A">
              <w:t xml:space="preserve"> facility (i.e., a sub-acute rehabilitation center, skilled nursing home, acute </w:t>
            </w:r>
            <w:r w:rsidR="0018762D" w:rsidRPr="00674A0A">
              <w:t>rehabilitation</w:t>
            </w:r>
            <w:r w:rsidRPr="00674A0A">
              <w:t xml:space="preserve"> center, or assisted living). </w:t>
            </w:r>
            <w:r w:rsidR="008E4C0B">
              <w:t xml:space="preserve">This category does not include </w:t>
            </w:r>
            <w:proofErr w:type="spellStart"/>
            <w:r w:rsidRPr="00674A0A">
              <w:t>ransfer</w:t>
            </w:r>
            <w:proofErr w:type="spellEnd"/>
            <w:r w:rsidRPr="00674A0A">
              <w:t xml:space="preserve"> from another hospital</w:t>
            </w:r>
            <w:r w:rsidR="008E4C0B">
              <w:t xml:space="preserve"> or</w:t>
            </w:r>
            <w:r w:rsidRPr="00674A0A">
              <w:t xml:space="preserve"> transfer from a facility that is the patient's usual place of residence (such as an adult foster care center). </w:t>
            </w:r>
          </w:p>
        </w:tc>
      </w:tr>
      <w:tr w:rsidR="00674A0A" w:rsidRPr="00674A0A" w14:paraId="7B20AA3B" w14:textId="77777777" w:rsidTr="00674A0A">
        <w:trPr>
          <w:trHeight w:val="300"/>
        </w:trPr>
        <w:tc>
          <w:tcPr>
            <w:tcW w:w="4765" w:type="dxa"/>
            <w:noWrap/>
            <w:hideMark/>
          </w:tcPr>
          <w:p w14:paraId="631BD326" w14:textId="77777777" w:rsidR="00674A0A" w:rsidRPr="00674A0A" w:rsidRDefault="00674A0A">
            <w:r w:rsidRPr="00674A0A">
              <w:t>Immune suppression not severe enough to be excluded</w:t>
            </w:r>
          </w:p>
        </w:tc>
        <w:tc>
          <w:tcPr>
            <w:tcW w:w="9625" w:type="dxa"/>
            <w:hideMark/>
          </w:tcPr>
          <w:p w14:paraId="3D80393D" w14:textId="1FC857E0" w:rsidR="00674A0A" w:rsidRPr="00674A0A" w:rsidRDefault="008E4C0B">
            <w:r>
              <w:t xml:space="preserve">This includes patients with </w:t>
            </w:r>
            <w:r w:rsidR="0018762D">
              <w:t xml:space="preserve">HIV with </w:t>
            </w:r>
            <w:r w:rsidR="00674A0A" w:rsidRPr="00674A0A">
              <w:t>CD4&gt;200</w:t>
            </w:r>
            <w:r>
              <w:t>, on chronic</w:t>
            </w:r>
            <w:r w:rsidR="0018762D">
              <w:t xml:space="preserve"> low-dose steroids</w:t>
            </w:r>
            <w:r>
              <w:t xml:space="preserve"> (</w:t>
            </w:r>
            <w:r w:rsidR="00674A0A" w:rsidRPr="00674A0A">
              <w:t xml:space="preserve">&lt;20 </w:t>
            </w:r>
            <w:r w:rsidR="0018762D">
              <w:t>mg prednisone/day</w:t>
            </w:r>
            <w:r>
              <w:t>),</w:t>
            </w:r>
            <w:r w:rsidR="0018762D">
              <w:t xml:space="preserve"> </w:t>
            </w:r>
            <w:r w:rsidR="00674A0A" w:rsidRPr="00674A0A">
              <w:t xml:space="preserve">or </w:t>
            </w:r>
            <w:r w:rsidR="0018762D">
              <w:t>&lt;2</w:t>
            </w:r>
            <w:r w:rsidR="00674A0A" w:rsidRPr="00674A0A">
              <w:t xml:space="preserve"> immunosuppressive </w:t>
            </w:r>
            <w:r w:rsidR="0018762D">
              <w:t>agents</w:t>
            </w:r>
          </w:p>
        </w:tc>
      </w:tr>
      <w:tr w:rsidR="00674A0A" w:rsidRPr="00674A0A" w14:paraId="4D79B2BE" w14:textId="77777777" w:rsidTr="009202F4">
        <w:trPr>
          <w:trHeight w:val="359"/>
        </w:trPr>
        <w:tc>
          <w:tcPr>
            <w:tcW w:w="14390" w:type="dxa"/>
            <w:gridSpan w:val="2"/>
            <w:noWrap/>
            <w:hideMark/>
          </w:tcPr>
          <w:p w14:paraId="2F2F87CE" w14:textId="77777777" w:rsidR="00674A0A" w:rsidRPr="00674A0A" w:rsidRDefault="00674A0A">
            <w:pPr>
              <w:rPr>
                <w:b/>
                <w:bCs/>
              </w:rPr>
            </w:pPr>
            <w:r w:rsidRPr="00674A0A">
              <w:rPr>
                <w:b/>
                <w:bCs/>
              </w:rPr>
              <w:t>Urologic Co-Morbidities</w:t>
            </w:r>
          </w:p>
        </w:tc>
      </w:tr>
      <w:tr w:rsidR="00674A0A" w:rsidRPr="00674A0A" w14:paraId="74A56827" w14:textId="77777777" w:rsidTr="00674A0A">
        <w:trPr>
          <w:trHeight w:val="1164"/>
        </w:trPr>
        <w:tc>
          <w:tcPr>
            <w:tcW w:w="4765" w:type="dxa"/>
            <w:noWrap/>
            <w:hideMark/>
          </w:tcPr>
          <w:p w14:paraId="50CAF2BF" w14:textId="77777777" w:rsidR="00674A0A" w:rsidRPr="00674A0A" w:rsidRDefault="00674A0A">
            <w:r w:rsidRPr="00674A0A">
              <w:t>Urologic procedures in 30 days prior to admission</w:t>
            </w:r>
          </w:p>
        </w:tc>
        <w:tc>
          <w:tcPr>
            <w:tcW w:w="9625" w:type="dxa"/>
            <w:hideMark/>
          </w:tcPr>
          <w:p w14:paraId="14CF6D6B" w14:textId="77777777" w:rsidR="00674A0A" w:rsidRPr="00674A0A" w:rsidRDefault="00674A0A">
            <w:r w:rsidRPr="00674A0A">
              <w:t xml:space="preserve">Review the medical record to determine if there is a history of urologic surgery in the 30 days prior to the hospital encounter (ER, observation unit, inpatient). Include transurethral resection of the prostate (TURP). Reminder, if the patient had a urologic surgery or urologic procedure during the hospital encounter, this patient would be ineligible for abstraction. </w:t>
            </w:r>
          </w:p>
        </w:tc>
      </w:tr>
      <w:tr w:rsidR="00674A0A" w:rsidRPr="00674A0A" w14:paraId="0845F11B" w14:textId="77777777" w:rsidTr="000178D6">
        <w:trPr>
          <w:trHeight w:val="548"/>
        </w:trPr>
        <w:tc>
          <w:tcPr>
            <w:tcW w:w="4765" w:type="dxa"/>
            <w:noWrap/>
            <w:hideMark/>
          </w:tcPr>
          <w:p w14:paraId="0899888C" w14:textId="77777777" w:rsidR="00674A0A" w:rsidRPr="00674A0A" w:rsidRDefault="00674A0A">
            <w:r w:rsidRPr="00674A0A">
              <w:t>Chronic urinary catheter use (i.e., foley)</w:t>
            </w:r>
          </w:p>
        </w:tc>
        <w:tc>
          <w:tcPr>
            <w:tcW w:w="9625" w:type="dxa"/>
            <w:hideMark/>
          </w:tcPr>
          <w:p w14:paraId="05181763" w14:textId="63DFFD98" w:rsidR="00674A0A" w:rsidRPr="00674A0A" w:rsidRDefault="00674A0A">
            <w:r w:rsidRPr="00674A0A">
              <w:t xml:space="preserve">Review the medical record to determine if the patient had a Foley catheter on the day before or day of the hosptial encounter (i.e., walk in the door with a Foley catheter in place). </w:t>
            </w:r>
          </w:p>
        </w:tc>
      </w:tr>
      <w:tr w:rsidR="00674A0A" w:rsidRPr="00674A0A" w14:paraId="5C86EC39" w14:textId="77777777" w:rsidTr="000178D6">
        <w:trPr>
          <w:trHeight w:val="431"/>
        </w:trPr>
        <w:tc>
          <w:tcPr>
            <w:tcW w:w="4765" w:type="dxa"/>
            <w:noWrap/>
            <w:hideMark/>
          </w:tcPr>
          <w:p w14:paraId="7E3F5EDD" w14:textId="77777777" w:rsidR="00674A0A" w:rsidRPr="00674A0A" w:rsidRDefault="00674A0A">
            <w:r w:rsidRPr="00674A0A">
              <w:t>Chronic intermittent straight catheterization</w:t>
            </w:r>
          </w:p>
        </w:tc>
        <w:tc>
          <w:tcPr>
            <w:tcW w:w="9625" w:type="dxa"/>
            <w:hideMark/>
          </w:tcPr>
          <w:p w14:paraId="60273E1E" w14:textId="5CD8C32A" w:rsidR="00674A0A" w:rsidRPr="00674A0A" w:rsidRDefault="00674A0A">
            <w:r w:rsidRPr="00674A0A">
              <w:t>Review the medical record to determine if the patient</w:t>
            </w:r>
            <w:r w:rsidR="008E4C0B">
              <w:t xml:space="preserve"> used </w:t>
            </w:r>
            <w:r w:rsidRPr="00674A0A">
              <w:t>intermittent straight catheter</w:t>
            </w:r>
            <w:r w:rsidR="008E4C0B">
              <w:t>ization prior to</w:t>
            </w:r>
            <w:r w:rsidRPr="00674A0A">
              <w:t xml:space="preserve"> the hosp</w:t>
            </w:r>
            <w:r w:rsidR="008E4C0B">
              <w:t>i</w:t>
            </w:r>
            <w:r w:rsidRPr="00674A0A">
              <w:t>tal encounter</w:t>
            </w:r>
            <w:r w:rsidR="008E4C0B">
              <w:t>.</w:t>
            </w:r>
          </w:p>
        </w:tc>
      </w:tr>
      <w:tr w:rsidR="00674A0A" w:rsidRPr="00674A0A" w14:paraId="4642A1CA" w14:textId="77777777" w:rsidTr="000178D6">
        <w:trPr>
          <w:trHeight w:val="638"/>
        </w:trPr>
        <w:tc>
          <w:tcPr>
            <w:tcW w:w="4765" w:type="dxa"/>
            <w:noWrap/>
            <w:hideMark/>
          </w:tcPr>
          <w:p w14:paraId="3F21330E" w14:textId="77777777" w:rsidR="00674A0A" w:rsidRPr="00674A0A" w:rsidRDefault="00674A0A">
            <w:r w:rsidRPr="00674A0A">
              <w:t>History of prostate cancer within the past year</w:t>
            </w:r>
          </w:p>
        </w:tc>
        <w:tc>
          <w:tcPr>
            <w:tcW w:w="9625" w:type="dxa"/>
            <w:hideMark/>
          </w:tcPr>
          <w:p w14:paraId="77B06C96" w14:textId="1D740D20" w:rsidR="00674A0A" w:rsidRPr="00674A0A" w:rsidRDefault="00674A0A">
            <w:r w:rsidRPr="00674A0A">
              <w:t xml:space="preserve">Review the medical record to determine if the patient has a past or present history of prostate cancer. Please indicate only the primary site of the cancer and not sites of metastasis. Benign prostatic hyperplasia should be excluded. </w:t>
            </w:r>
          </w:p>
        </w:tc>
      </w:tr>
      <w:tr w:rsidR="00674A0A" w:rsidRPr="00674A0A" w14:paraId="28C07482" w14:textId="77777777" w:rsidTr="00214642">
        <w:trPr>
          <w:trHeight w:val="1061"/>
        </w:trPr>
        <w:tc>
          <w:tcPr>
            <w:tcW w:w="4765" w:type="dxa"/>
            <w:noWrap/>
            <w:hideMark/>
          </w:tcPr>
          <w:p w14:paraId="0545A06C" w14:textId="77777777" w:rsidR="00674A0A" w:rsidRPr="00674A0A" w:rsidRDefault="00674A0A">
            <w:r w:rsidRPr="00674A0A">
              <w:lastRenderedPageBreak/>
              <w:t>Neurogenic bladder or urinary retention</w:t>
            </w:r>
          </w:p>
        </w:tc>
        <w:tc>
          <w:tcPr>
            <w:tcW w:w="9625" w:type="dxa"/>
            <w:hideMark/>
          </w:tcPr>
          <w:p w14:paraId="5B280123" w14:textId="1CC3C668" w:rsidR="00674A0A" w:rsidRPr="00674A0A" w:rsidRDefault="00674A0A">
            <w:r w:rsidRPr="00674A0A">
              <w:t>Review the medical record to determine if there is documentation of urinary retention prior to the hospital encounter or during the hospital encounter. This includes patients for which the medical record indicates the patient has a diagnosis of urinary retention during the hospital encounter or indicates a history of urinary retention in the 30 days prior to the hospital encounter</w:t>
            </w:r>
            <w:r w:rsidR="008E4C0B">
              <w:t>.</w:t>
            </w:r>
            <w:r w:rsidRPr="00674A0A">
              <w:t xml:space="preserve"> </w:t>
            </w:r>
          </w:p>
        </w:tc>
      </w:tr>
    </w:tbl>
    <w:p w14:paraId="3DEDCE5B" w14:textId="2FE476BE" w:rsidR="005F667C" w:rsidRDefault="005F667C" w:rsidP="005F667C">
      <w:pPr>
        <w:pStyle w:val="Heading1"/>
      </w:pPr>
      <w:bookmarkStart w:id="20" w:name="_Toc115178825"/>
      <w:r>
        <w:t>SIRS Criteria and Organ Dysfunction</w:t>
      </w:r>
      <w:bookmarkEnd w:id="20"/>
    </w:p>
    <w:p w14:paraId="6AAC295E" w14:textId="148BB813" w:rsidR="005F667C" w:rsidRDefault="005F667C" w:rsidP="005F667C">
      <w:r>
        <w:t>Information in the section should be recorded relative to the day the first positive urine culture was collected, Day 0</w:t>
      </w:r>
      <w:r w:rsidR="00A86E4F">
        <w:t>,</w:t>
      </w:r>
      <w:r>
        <w:t xml:space="preserve"> and includes the day before Day 0 (Day -1) through the 2 days following Day 0 (Day 1 and Day 2). For reference, the date of Day 0 is indicated</w:t>
      </w:r>
      <w:r w:rsidR="00A86E4F">
        <w:t xml:space="preserve"> in the matrix header</w:t>
      </w:r>
      <w:r>
        <w:t>.</w:t>
      </w:r>
    </w:p>
    <w:p w14:paraId="0769ACA3" w14:textId="325566E6" w:rsidR="005F667C" w:rsidRDefault="005F667C" w:rsidP="005F667C">
      <w:r>
        <w:t xml:space="preserve">If </w:t>
      </w:r>
      <w:r w:rsidRPr="00166484">
        <w:rPr>
          <w:u w:val="single"/>
        </w:rPr>
        <w:t>no data are available</w:t>
      </w:r>
      <w:r>
        <w:t xml:space="preserve"> for any of these days, please check “No data are available for this day”. If</w:t>
      </w:r>
      <w:r w:rsidR="00A86E4F">
        <w:t>, on any of the days,</w:t>
      </w:r>
      <w:r>
        <w:t xml:space="preserve"> </w:t>
      </w:r>
      <w:r w:rsidRPr="00166484">
        <w:rPr>
          <w:u w:val="single"/>
        </w:rPr>
        <w:t>all SIRS criteria in the table are negative</w:t>
      </w:r>
      <w:r>
        <w:t>, please check the last box, “None of the above (all negative)”. This documents that</w:t>
      </w:r>
      <w:r w:rsidR="00D61557">
        <w:t xml:space="preserve"> at least some</w:t>
      </w:r>
      <w:r>
        <w:t xml:space="preserve"> data were available for review, and all </w:t>
      </w:r>
      <w:r w:rsidR="00D61557">
        <w:t xml:space="preserve">available </w:t>
      </w:r>
      <w:r>
        <w:t>were negative.</w:t>
      </w:r>
    </w:p>
    <w:tbl>
      <w:tblPr>
        <w:tblStyle w:val="TableGrid"/>
        <w:tblW w:w="0" w:type="auto"/>
        <w:tblLook w:val="04A0" w:firstRow="1" w:lastRow="0" w:firstColumn="1" w:lastColumn="0" w:noHBand="0" w:noVBand="1"/>
      </w:tblPr>
      <w:tblGrid>
        <w:gridCol w:w="4135"/>
        <w:gridCol w:w="7645"/>
      </w:tblGrid>
      <w:tr w:rsidR="00166484" w:rsidRPr="00166484" w14:paraId="5A9D5299" w14:textId="77777777" w:rsidTr="00214642">
        <w:trPr>
          <w:trHeight w:val="300"/>
        </w:trPr>
        <w:tc>
          <w:tcPr>
            <w:tcW w:w="4135" w:type="dxa"/>
            <w:hideMark/>
          </w:tcPr>
          <w:p w14:paraId="624B0CC7" w14:textId="380BA56A" w:rsidR="00166484" w:rsidRPr="00166484" w:rsidRDefault="00166484">
            <w:pPr>
              <w:rPr>
                <w:b/>
                <w:bCs/>
              </w:rPr>
            </w:pPr>
            <w:r>
              <w:rPr>
                <w:b/>
                <w:bCs/>
              </w:rPr>
              <w:t>SIRS Criteria</w:t>
            </w:r>
          </w:p>
        </w:tc>
        <w:tc>
          <w:tcPr>
            <w:tcW w:w="7645" w:type="dxa"/>
            <w:hideMark/>
          </w:tcPr>
          <w:p w14:paraId="74361A56" w14:textId="77777777" w:rsidR="00166484" w:rsidRPr="00166484" w:rsidRDefault="00166484">
            <w:pPr>
              <w:rPr>
                <w:b/>
                <w:bCs/>
              </w:rPr>
            </w:pPr>
            <w:r w:rsidRPr="00166484">
              <w:rPr>
                <w:b/>
                <w:bCs/>
              </w:rPr>
              <w:t>Operationalized Definition</w:t>
            </w:r>
          </w:p>
        </w:tc>
      </w:tr>
      <w:tr w:rsidR="00166484" w:rsidRPr="00166484" w14:paraId="3BE97903" w14:textId="77777777" w:rsidTr="00214642">
        <w:trPr>
          <w:trHeight w:val="300"/>
        </w:trPr>
        <w:tc>
          <w:tcPr>
            <w:tcW w:w="4135" w:type="dxa"/>
            <w:noWrap/>
            <w:hideMark/>
          </w:tcPr>
          <w:p w14:paraId="60768D13" w14:textId="77777777" w:rsidR="00166484" w:rsidRPr="00166484" w:rsidRDefault="00166484">
            <w:r w:rsidRPr="00166484">
              <w:t>Temperature &gt; 38.0 C</w:t>
            </w:r>
          </w:p>
        </w:tc>
        <w:tc>
          <w:tcPr>
            <w:tcW w:w="7645" w:type="dxa"/>
            <w:vMerge w:val="restart"/>
            <w:hideMark/>
          </w:tcPr>
          <w:p w14:paraId="3F0EF568" w14:textId="77777777" w:rsidR="00166484" w:rsidRPr="00166484" w:rsidRDefault="00166484">
            <w:r w:rsidRPr="00166484">
              <w:t>Review the medical record to determine if any of the following signs or symptoms are documented as present either the day before the urine culture was collected (day -1), the day the urine culture was collected (day 0), or in either of the two days following urine culture collection (day 1 or 2).</w:t>
            </w:r>
          </w:p>
        </w:tc>
      </w:tr>
      <w:tr w:rsidR="00166484" w:rsidRPr="00166484" w14:paraId="1A28BD6B" w14:textId="77777777" w:rsidTr="00214642">
        <w:trPr>
          <w:trHeight w:val="300"/>
        </w:trPr>
        <w:tc>
          <w:tcPr>
            <w:tcW w:w="4135" w:type="dxa"/>
            <w:noWrap/>
            <w:hideMark/>
          </w:tcPr>
          <w:p w14:paraId="06D446F4" w14:textId="77777777" w:rsidR="00166484" w:rsidRPr="00166484" w:rsidRDefault="00166484">
            <w:r w:rsidRPr="00166484">
              <w:t>Temperature &lt; 36.0 C</w:t>
            </w:r>
          </w:p>
        </w:tc>
        <w:tc>
          <w:tcPr>
            <w:tcW w:w="7645" w:type="dxa"/>
            <w:vMerge/>
            <w:hideMark/>
          </w:tcPr>
          <w:p w14:paraId="18B2B078" w14:textId="77777777" w:rsidR="00166484" w:rsidRPr="00166484" w:rsidRDefault="00166484"/>
        </w:tc>
      </w:tr>
      <w:tr w:rsidR="00166484" w:rsidRPr="00166484" w14:paraId="40CF4913" w14:textId="77777777" w:rsidTr="00214642">
        <w:trPr>
          <w:trHeight w:val="300"/>
        </w:trPr>
        <w:tc>
          <w:tcPr>
            <w:tcW w:w="4135" w:type="dxa"/>
            <w:noWrap/>
            <w:hideMark/>
          </w:tcPr>
          <w:p w14:paraId="27F772D6" w14:textId="77777777" w:rsidR="00166484" w:rsidRPr="00166484" w:rsidRDefault="00166484">
            <w:r w:rsidRPr="00166484">
              <w:t>Heart rate (HR) &gt; 90 bpm</w:t>
            </w:r>
          </w:p>
        </w:tc>
        <w:tc>
          <w:tcPr>
            <w:tcW w:w="7645" w:type="dxa"/>
            <w:vMerge/>
            <w:hideMark/>
          </w:tcPr>
          <w:p w14:paraId="5AFD41B9" w14:textId="77777777" w:rsidR="00166484" w:rsidRPr="00166484" w:rsidRDefault="00166484"/>
        </w:tc>
      </w:tr>
      <w:tr w:rsidR="00166484" w:rsidRPr="00166484" w14:paraId="6F372FA2" w14:textId="77777777" w:rsidTr="00214642">
        <w:trPr>
          <w:trHeight w:val="300"/>
        </w:trPr>
        <w:tc>
          <w:tcPr>
            <w:tcW w:w="4135" w:type="dxa"/>
            <w:noWrap/>
            <w:hideMark/>
          </w:tcPr>
          <w:p w14:paraId="6B3322D6" w14:textId="77777777" w:rsidR="00166484" w:rsidRPr="00166484" w:rsidRDefault="00166484">
            <w:r w:rsidRPr="00166484">
              <w:t xml:space="preserve">Respiratory rate (RR) &gt; 20 </w:t>
            </w:r>
            <w:proofErr w:type="spellStart"/>
            <w:r w:rsidRPr="00166484">
              <w:t>br</w:t>
            </w:r>
            <w:proofErr w:type="spellEnd"/>
            <w:r w:rsidRPr="00166484">
              <w:t>/min</w:t>
            </w:r>
          </w:p>
        </w:tc>
        <w:tc>
          <w:tcPr>
            <w:tcW w:w="7645" w:type="dxa"/>
            <w:vMerge/>
            <w:hideMark/>
          </w:tcPr>
          <w:p w14:paraId="23CC49C7" w14:textId="77777777" w:rsidR="00166484" w:rsidRPr="00166484" w:rsidRDefault="00166484"/>
        </w:tc>
      </w:tr>
      <w:tr w:rsidR="00166484" w:rsidRPr="00166484" w14:paraId="75B93CF3" w14:textId="77777777" w:rsidTr="00214642">
        <w:trPr>
          <w:trHeight w:val="300"/>
        </w:trPr>
        <w:tc>
          <w:tcPr>
            <w:tcW w:w="4135" w:type="dxa"/>
            <w:noWrap/>
            <w:hideMark/>
          </w:tcPr>
          <w:p w14:paraId="332B399C" w14:textId="77777777" w:rsidR="00166484" w:rsidRPr="00166484" w:rsidRDefault="00166484">
            <w:r w:rsidRPr="00166484">
              <w:t>White blood cell count (WBC) &gt; 10 K/</w:t>
            </w:r>
            <w:proofErr w:type="spellStart"/>
            <w:r w:rsidRPr="00166484">
              <w:t>uL</w:t>
            </w:r>
            <w:proofErr w:type="spellEnd"/>
          </w:p>
        </w:tc>
        <w:tc>
          <w:tcPr>
            <w:tcW w:w="7645" w:type="dxa"/>
            <w:vMerge/>
            <w:hideMark/>
          </w:tcPr>
          <w:p w14:paraId="1C4DF4E9" w14:textId="77777777" w:rsidR="00166484" w:rsidRPr="00166484" w:rsidRDefault="00166484"/>
        </w:tc>
      </w:tr>
      <w:tr w:rsidR="00166484" w:rsidRPr="00166484" w14:paraId="6E720015" w14:textId="77777777" w:rsidTr="00214642">
        <w:trPr>
          <w:trHeight w:val="300"/>
        </w:trPr>
        <w:tc>
          <w:tcPr>
            <w:tcW w:w="4135" w:type="dxa"/>
            <w:noWrap/>
            <w:hideMark/>
          </w:tcPr>
          <w:p w14:paraId="5E6419DB" w14:textId="77777777" w:rsidR="00166484" w:rsidRPr="00166484" w:rsidRDefault="00166484">
            <w:r w:rsidRPr="00166484">
              <w:t>Hypotension (SBP &lt; 90 mmHg)</w:t>
            </w:r>
          </w:p>
        </w:tc>
        <w:tc>
          <w:tcPr>
            <w:tcW w:w="7645" w:type="dxa"/>
            <w:vMerge/>
            <w:hideMark/>
          </w:tcPr>
          <w:p w14:paraId="4140CFD5" w14:textId="77777777" w:rsidR="00166484" w:rsidRPr="00166484" w:rsidRDefault="00166484"/>
        </w:tc>
      </w:tr>
      <w:tr w:rsidR="00166484" w:rsidRPr="00166484" w14:paraId="18CA99DC" w14:textId="77777777" w:rsidTr="00214642">
        <w:trPr>
          <w:trHeight w:val="879"/>
        </w:trPr>
        <w:tc>
          <w:tcPr>
            <w:tcW w:w="4135" w:type="dxa"/>
            <w:vMerge w:val="restart"/>
            <w:hideMark/>
          </w:tcPr>
          <w:p w14:paraId="267A2070" w14:textId="77777777" w:rsidR="00166484" w:rsidRPr="00166484" w:rsidRDefault="00166484">
            <w:r w:rsidRPr="00166484">
              <w:t>New organ dysfunction (thought secondary to infection</w:t>
            </w:r>
          </w:p>
        </w:tc>
        <w:tc>
          <w:tcPr>
            <w:tcW w:w="7645" w:type="dxa"/>
            <w:hideMark/>
          </w:tcPr>
          <w:p w14:paraId="363B3770" w14:textId="507CDA2D" w:rsidR="00166484" w:rsidRPr="00166484" w:rsidRDefault="00166484">
            <w:r w:rsidRPr="00166484">
              <w:t xml:space="preserve">Select if the laboratory data/medical documentation indicates </w:t>
            </w:r>
            <w:r w:rsidRPr="00166484">
              <w:rPr>
                <w:b/>
                <w:bCs/>
              </w:rPr>
              <w:t>new</w:t>
            </w:r>
            <w:r>
              <w:rPr>
                <w:b/>
                <w:bCs/>
              </w:rPr>
              <w:t xml:space="preserve"> </w:t>
            </w:r>
            <w:r w:rsidRPr="00166484">
              <w:t>(not previously documented)</w:t>
            </w:r>
            <w:r w:rsidRPr="00166484">
              <w:rPr>
                <w:b/>
                <w:bCs/>
              </w:rPr>
              <w:t xml:space="preserve"> </w:t>
            </w:r>
            <w:r w:rsidRPr="00166484">
              <w:t>Creatinine (Cr)&gt;2 mg/dL; Bilirubin &gt;2 mg/dL; platelet &lt; 100,000/</w:t>
            </w:r>
            <w:proofErr w:type="spellStart"/>
            <w:r>
              <w:t>u</w:t>
            </w:r>
            <w:r w:rsidRPr="00166484">
              <w:t>L</w:t>
            </w:r>
            <w:proofErr w:type="spellEnd"/>
            <w:r w:rsidRPr="00166484">
              <w:t>; International normalized ratio (INR) &gt; 1.5; lactate &gt; 2 mmol/L; or systolic blood pressure (SBP) &lt; 90 mm Hg</w:t>
            </w:r>
            <w:r>
              <w:t>. Do not count INR if patient is on warfarin.</w:t>
            </w:r>
          </w:p>
        </w:tc>
      </w:tr>
      <w:tr w:rsidR="00166484" w:rsidRPr="00166484" w14:paraId="25DD6D4E" w14:textId="77777777" w:rsidTr="00214642">
        <w:trPr>
          <w:trHeight w:val="876"/>
        </w:trPr>
        <w:tc>
          <w:tcPr>
            <w:tcW w:w="4135" w:type="dxa"/>
            <w:vMerge/>
            <w:hideMark/>
          </w:tcPr>
          <w:p w14:paraId="2F7D3C0E" w14:textId="77777777" w:rsidR="00166484" w:rsidRPr="00166484" w:rsidRDefault="00166484"/>
        </w:tc>
        <w:tc>
          <w:tcPr>
            <w:tcW w:w="7645" w:type="dxa"/>
            <w:hideMark/>
          </w:tcPr>
          <w:p w14:paraId="7275A23A" w14:textId="77777777" w:rsidR="00166484" w:rsidRPr="00166484" w:rsidRDefault="00166484" w:rsidP="00166484">
            <w:r w:rsidRPr="00166484">
              <w:t>Note: include patients with unknown chronicity (e.g., has a Cr 4.0 with no known medical history as patient has never seen a doctor or Cr never checked before)</w:t>
            </w:r>
          </w:p>
        </w:tc>
      </w:tr>
    </w:tbl>
    <w:p w14:paraId="5F1A57D8" w14:textId="6A38B12B" w:rsidR="00166484" w:rsidRDefault="00166484" w:rsidP="00166484">
      <w:pPr>
        <w:pStyle w:val="Heading1"/>
      </w:pPr>
      <w:bookmarkStart w:id="21" w:name="_Toc115178826"/>
      <w:r>
        <w:t>Urinary Catheter</w:t>
      </w:r>
      <w:bookmarkEnd w:id="21"/>
    </w:p>
    <w:p w14:paraId="60489009" w14:textId="3327376A" w:rsidR="00166484" w:rsidRDefault="00166484" w:rsidP="00166484">
      <w:r>
        <w:t>Information in the section should be recorded relative to the day the first positive urine culture was collected, i.e., Day 0 and includes the day before Day 0 (Day -1) through the 2 days following Day 0 (Day 1 and Day 2). For reference, the date of Day 0 is indicated</w:t>
      </w:r>
      <w:r w:rsidR="00A86E4F">
        <w:t xml:space="preserve"> in the matrix header</w:t>
      </w:r>
      <w:r>
        <w:t>.</w:t>
      </w:r>
    </w:p>
    <w:p w14:paraId="3483D9B1" w14:textId="32145C95" w:rsidR="00166484" w:rsidRDefault="00166484" w:rsidP="00166484">
      <w:r w:rsidRPr="00166484">
        <w:t>Review the medical record to determine if</w:t>
      </w:r>
      <w:r>
        <w:t xml:space="preserve"> a urinary catheter was in place on each day and if the patient had intermittent straight catheterization on each day.</w:t>
      </w:r>
      <w:r w:rsidR="00214642">
        <w:t xml:space="preserve"> </w:t>
      </w:r>
      <w:r>
        <w:t xml:space="preserve">If </w:t>
      </w:r>
      <w:r w:rsidRPr="00166484">
        <w:rPr>
          <w:u w:val="single"/>
        </w:rPr>
        <w:t>no data are available</w:t>
      </w:r>
      <w:r>
        <w:t xml:space="preserve"> for any of these days, please check “No data are available for this day”. If </w:t>
      </w:r>
      <w:r>
        <w:rPr>
          <w:u w:val="single"/>
        </w:rPr>
        <w:t>no catheters were used</w:t>
      </w:r>
      <w:r>
        <w:t>, please check the last box, “None of the above (both negative)”. This documents that data were available for review, and all criteria</w:t>
      </w:r>
      <w:r w:rsidR="00D61557">
        <w:t xml:space="preserve"> available</w:t>
      </w:r>
      <w:r>
        <w:t xml:space="preserve"> were negative.</w:t>
      </w:r>
    </w:p>
    <w:p w14:paraId="383D6974" w14:textId="62836A99" w:rsidR="00CD6481" w:rsidRDefault="00CD6481" w:rsidP="00166484">
      <w:pPr>
        <w:pStyle w:val="Heading1"/>
      </w:pPr>
      <w:bookmarkStart w:id="22" w:name="_Toc115178827"/>
      <w:r w:rsidRPr="005B208B">
        <w:lastRenderedPageBreak/>
        <w:t xml:space="preserve">Signs and Symptoms </w:t>
      </w:r>
      <w:r w:rsidR="00166484">
        <w:t>Related to UTI</w:t>
      </w:r>
      <w:bookmarkEnd w:id="22"/>
    </w:p>
    <w:p w14:paraId="4AFF6A0F" w14:textId="7AE4D15C" w:rsidR="00166484" w:rsidRDefault="00166484" w:rsidP="00166484">
      <w:r>
        <w:t>Information in the section should be recorded relative to the day the first positive urine culture was collected, i.e., Day 0 and includes the day before Day 0 (Day -1) through the 2 days following Day 0 (Day 1 and Day 2). For reference, the date of Day 0 is indicated</w:t>
      </w:r>
      <w:r w:rsidR="0046132B">
        <w:t xml:space="preserve"> in the matrix header</w:t>
      </w:r>
      <w:r>
        <w:t>.</w:t>
      </w:r>
    </w:p>
    <w:p w14:paraId="6852E868" w14:textId="0FD9C716" w:rsidR="00EB3C3F" w:rsidRDefault="00166484">
      <w:pPr>
        <w:rPr>
          <w:rFonts w:cs="Arial"/>
        </w:rPr>
      </w:pPr>
      <w:r w:rsidRPr="00166484">
        <w:t>Review the medical record to determine if</w:t>
      </w:r>
      <w:r>
        <w:t xml:space="preserve"> any of the following signs and/or symptoms were present on each day. </w:t>
      </w:r>
      <w:r w:rsidR="00D2472D" w:rsidRPr="005B208B">
        <w:rPr>
          <w:rFonts w:cs="Arial"/>
        </w:rPr>
        <w:t xml:space="preserve">Only documentation from physicians and/or advanced practice </w:t>
      </w:r>
      <w:r w:rsidR="00BE3502" w:rsidRPr="005B208B">
        <w:rPr>
          <w:rFonts w:cs="Arial"/>
        </w:rPr>
        <w:t>professionals</w:t>
      </w:r>
      <w:r w:rsidR="00D2472D" w:rsidRPr="005B208B">
        <w:rPr>
          <w:rFonts w:cs="Arial"/>
        </w:rPr>
        <w:t xml:space="preserve"> should be used when documenting data in this area. </w:t>
      </w:r>
    </w:p>
    <w:tbl>
      <w:tblPr>
        <w:tblW w:w="14390" w:type="dxa"/>
        <w:tblLook w:val="04A0" w:firstRow="1" w:lastRow="0" w:firstColumn="1" w:lastColumn="0" w:noHBand="0" w:noVBand="1"/>
      </w:tblPr>
      <w:tblGrid>
        <w:gridCol w:w="2656"/>
        <w:gridCol w:w="11734"/>
      </w:tblGrid>
      <w:tr w:rsidR="00674A0A" w:rsidRPr="00674A0A" w14:paraId="2CD993D3" w14:textId="77777777" w:rsidTr="00467E9A">
        <w:trPr>
          <w:cantSplit/>
          <w:trHeight w:val="384"/>
          <w:tblHeader/>
        </w:trPr>
        <w:tc>
          <w:tcPr>
            <w:tcW w:w="2656" w:type="dxa"/>
            <w:tcBorders>
              <w:top w:val="single" w:sz="8" w:space="0" w:color="auto"/>
              <w:left w:val="single" w:sz="8" w:space="0" w:color="auto"/>
              <w:bottom w:val="nil"/>
              <w:right w:val="single" w:sz="8" w:space="0" w:color="auto"/>
            </w:tcBorders>
            <w:shd w:val="clear" w:color="auto" w:fill="auto"/>
            <w:vAlign w:val="center"/>
            <w:hideMark/>
          </w:tcPr>
          <w:p w14:paraId="394B7B69" w14:textId="77777777" w:rsidR="00674A0A" w:rsidRPr="00674A0A" w:rsidRDefault="00674A0A" w:rsidP="00674A0A">
            <w:pPr>
              <w:spacing w:after="0" w:line="240" w:lineRule="auto"/>
              <w:rPr>
                <w:rFonts w:eastAsia="Times New Roman" w:cs="Arial"/>
                <w:b/>
                <w:bCs/>
                <w:color w:val="000000"/>
              </w:rPr>
            </w:pPr>
            <w:r w:rsidRPr="00674A0A">
              <w:rPr>
                <w:rFonts w:eastAsia="Times New Roman" w:cs="Arial"/>
                <w:b/>
                <w:bCs/>
                <w:color w:val="000000"/>
              </w:rPr>
              <w:t>Sign/Symptom</w:t>
            </w:r>
          </w:p>
        </w:tc>
        <w:tc>
          <w:tcPr>
            <w:tcW w:w="11734" w:type="dxa"/>
            <w:tcBorders>
              <w:top w:val="single" w:sz="8" w:space="0" w:color="auto"/>
              <w:left w:val="nil"/>
              <w:bottom w:val="nil"/>
              <w:right w:val="single" w:sz="8" w:space="0" w:color="auto"/>
            </w:tcBorders>
            <w:shd w:val="clear" w:color="auto" w:fill="auto"/>
            <w:vAlign w:val="center"/>
            <w:hideMark/>
          </w:tcPr>
          <w:p w14:paraId="1FCA3ED7" w14:textId="77777777" w:rsidR="00674A0A" w:rsidRPr="00674A0A" w:rsidRDefault="00674A0A" w:rsidP="00674A0A">
            <w:pPr>
              <w:spacing w:after="0" w:line="240" w:lineRule="auto"/>
              <w:rPr>
                <w:rFonts w:eastAsia="Times New Roman" w:cs="Arial"/>
                <w:b/>
                <w:bCs/>
                <w:color w:val="000000"/>
              </w:rPr>
            </w:pPr>
            <w:r w:rsidRPr="00674A0A">
              <w:rPr>
                <w:rFonts w:eastAsia="Times New Roman" w:cs="Arial"/>
                <w:b/>
                <w:bCs/>
                <w:color w:val="000000"/>
              </w:rPr>
              <w:t>Operationalized Definition</w:t>
            </w:r>
          </w:p>
        </w:tc>
      </w:tr>
      <w:tr w:rsidR="00674A0A" w:rsidRPr="00674A0A" w14:paraId="1433082D" w14:textId="77777777" w:rsidTr="00214642">
        <w:trPr>
          <w:trHeight w:val="195"/>
        </w:trPr>
        <w:tc>
          <w:tcPr>
            <w:tcW w:w="2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208D7B3" w14:textId="77777777"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Urgency</w:t>
            </w:r>
          </w:p>
        </w:tc>
        <w:tc>
          <w:tcPr>
            <w:tcW w:w="11734" w:type="dxa"/>
            <w:vMerge w:val="restart"/>
            <w:tcBorders>
              <w:top w:val="single" w:sz="12" w:space="0" w:color="auto"/>
              <w:left w:val="single" w:sz="12" w:space="0" w:color="auto"/>
              <w:bottom w:val="nil"/>
              <w:right w:val="single" w:sz="12" w:space="0" w:color="auto"/>
            </w:tcBorders>
            <w:shd w:val="clear" w:color="auto" w:fill="auto"/>
            <w:vAlign w:val="center"/>
            <w:hideMark/>
          </w:tcPr>
          <w:p w14:paraId="1847C3E6" w14:textId="78C256CB"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 xml:space="preserve">Review the medical record to determine if any of the following signs or symptoms are documented as present either the day before the urine culture was collected (day -1), the day the </w:t>
            </w:r>
            <w:r w:rsidR="00BE100F">
              <w:rPr>
                <w:rFonts w:eastAsia="Times New Roman" w:cs="Arial"/>
                <w:color w:val="000000"/>
              </w:rPr>
              <w:t xml:space="preserve">first positive </w:t>
            </w:r>
            <w:r w:rsidRPr="00674A0A">
              <w:rPr>
                <w:rFonts w:eastAsia="Times New Roman" w:cs="Arial"/>
                <w:color w:val="000000"/>
              </w:rPr>
              <w:t>urine culture was collected (day 0), or in either of the two days following urine culture collection (day 1 or 2).</w:t>
            </w:r>
            <w:r w:rsidRPr="00674A0A">
              <w:rPr>
                <w:rFonts w:eastAsia="Times New Roman" w:cs="Arial"/>
                <w:color w:val="000000"/>
              </w:rPr>
              <w:br/>
              <w:t>Note: Hypogastric pain should be considered suprapubic pain</w:t>
            </w:r>
            <w:r w:rsidRPr="00674A0A">
              <w:rPr>
                <w:rFonts w:eastAsia="Times New Roman" w:cs="Arial"/>
                <w:color w:val="000000"/>
              </w:rPr>
              <w:br/>
            </w:r>
            <w:r w:rsidRPr="00D61557">
              <w:rPr>
                <w:rFonts w:eastAsia="Times New Roman" w:cs="Arial"/>
                <w:color w:val="000000"/>
              </w:rPr>
              <w:t xml:space="preserve">Note:  </w:t>
            </w:r>
            <w:r w:rsidRPr="000178D6">
              <w:rPr>
                <w:rFonts w:eastAsia="Times New Roman" w:cs="Arial"/>
                <w:color w:val="000000"/>
              </w:rPr>
              <w:t>Exclude nursing documentation, only use physician or advance practice professional documentation to answer this question</w:t>
            </w:r>
            <w:r w:rsidRPr="00D61557">
              <w:rPr>
                <w:rFonts w:eastAsia="Times New Roman" w:cs="Arial"/>
                <w:color w:val="000000"/>
              </w:rPr>
              <w:t>.</w:t>
            </w:r>
          </w:p>
        </w:tc>
      </w:tr>
      <w:tr w:rsidR="00674A0A" w:rsidRPr="00674A0A" w14:paraId="2FCC3662" w14:textId="77777777" w:rsidTr="00214642">
        <w:trPr>
          <w:trHeight w:val="285"/>
        </w:trPr>
        <w:tc>
          <w:tcPr>
            <w:tcW w:w="2656" w:type="dxa"/>
            <w:tcBorders>
              <w:top w:val="nil"/>
              <w:left w:val="single" w:sz="12" w:space="0" w:color="auto"/>
              <w:bottom w:val="single" w:sz="12" w:space="0" w:color="auto"/>
              <w:right w:val="single" w:sz="12" w:space="0" w:color="auto"/>
            </w:tcBorders>
            <w:shd w:val="clear" w:color="auto" w:fill="auto"/>
            <w:vAlign w:val="center"/>
            <w:hideMark/>
          </w:tcPr>
          <w:p w14:paraId="04CD73FA" w14:textId="77777777"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Rigors</w:t>
            </w:r>
          </w:p>
        </w:tc>
        <w:tc>
          <w:tcPr>
            <w:tcW w:w="11734" w:type="dxa"/>
            <w:vMerge/>
            <w:tcBorders>
              <w:top w:val="single" w:sz="12" w:space="0" w:color="auto"/>
              <w:left w:val="single" w:sz="12" w:space="0" w:color="auto"/>
              <w:bottom w:val="nil"/>
              <w:right w:val="single" w:sz="12" w:space="0" w:color="auto"/>
            </w:tcBorders>
            <w:vAlign w:val="center"/>
            <w:hideMark/>
          </w:tcPr>
          <w:p w14:paraId="58E6F830" w14:textId="77777777" w:rsidR="00674A0A" w:rsidRPr="00674A0A" w:rsidRDefault="00674A0A" w:rsidP="00674A0A">
            <w:pPr>
              <w:spacing w:after="0" w:line="240" w:lineRule="auto"/>
              <w:rPr>
                <w:rFonts w:eastAsia="Times New Roman" w:cs="Arial"/>
                <w:color w:val="000000"/>
              </w:rPr>
            </w:pPr>
          </w:p>
        </w:tc>
      </w:tr>
      <w:tr w:rsidR="00674A0A" w:rsidRPr="00674A0A" w14:paraId="714247B1" w14:textId="77777777" w:rsidTr="00214642">
        <w:trPr>
          <w:trHeight w:val="240"/>
        </w:trPr>
        <w:tc>
          <w:tcPr>
            <w:tcW w:w="2656" w:type="dxa"/>
            <w:tcBorders>
              <w:top w:val="nil"/>
              <w:left w:val="single" w:sz="12" w:space="0" w:color="auto"/>
              <w:bottom w:val="single" w:sz="12" w:space="0" w:color="auto"/>
              <w:right w:val="single" w:sz="12" w:space="0" w:color="auto"/>
            </w:tcBorders>
            <w:shd w:val="clear" w:color="auto" w:fill="auto"/>
            <w:noWrap/>
            <w:vAlign w:val="bottom"/>
            <w:hideMark/>
          </w:tcPr>
          <w:p w14:paraId="484F2B7D" w14:textId="77777777"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Frequency</w:t>
            </w:r>
          </w:p>
        </w:tc>
        <w:tc>
          <w:tcPr>
            <w:tcW w:w="11734" w:type="dxa"/>
            <w:vMerge/>
            <w:tcBorders>
              <w:top w:val="single" w:sz="12" w:space="0" w:color="auto"/>
              <w:left w:val="single" w:sz="12" w:space="0" w:color="auto"/>
              <w:bottom w:val="nil"/>
              <w:right w:val="single" w:sz="12" w:space="0" w:color="auto"/>
            </w:tcBorders>
            <w:vAlign w:val="center"/>
            <w:hideMark/>
          </w:tcPr>
          <w:p w14:paraId="204424BE" w14:textId="77777777" w:rsidR="00674A0A" w:rsidRPr="00674A0A" w:rsidRDefault="00674A0A" w:rsidP="00674A0A">
            <w:pPr>
              <w:spacing w:after="0" w:line="240" w:lineRule="auto"/>
              <w:rPr>
                <w:rFonts w:eastAsia="Times New Roman" w:cs="Arial"/>
                <w:color w:val="000000"/>
              </w:rPr>
            </w:pPr>
          </w:p>
        </w:tc>
      </w:tr>
      <w:tr w:rsidR="00674A0A" w:rsidRPr="00674A0A" w14:paraId="3500514F" w14:textId="77777777" w:rsidTr="00214642">
        <w:trPr>
          <w:trHeight w:val="222"/>
        </w:trPr>
        <w:tc>
          <w:tcPr>
            <w:tcW w:w="2656" w:type="dxa"/>
            <w:tcBorders>
              <w:top w:val="nil"/>
              <w:left w:val="single" w:sz="12" w:space="0" w:color="auto"/>
              <w:bottom w:val="single" w:sz="12" w:space="0" w:color="auto"/>
              <w:right w:val="single" w:sz="12" w:space="0" w:color="auto"/>
            </w:tcBorders>
            <w:shd w:val="clear" w:color="auto" w:fill="auto"/>
            <w:vAlign w:val="center"/>
            <w:hideMark/>
          </w:tcPr>
          <w:p w14:paraId="16C533C2" w14:textId="77777777"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Dysuria</w:t>
            </w:r>
          </w:p>
        </w:tc>
        <w:tc>
          <w:tcPr>
            <w:tcW w:w="11734" w:type="dxa"/>
            <w:vMerge/>
            <w:tcBorders>
              <w:top w:val="single" w:sz="12" w:space="0" w:color="auto"/>
              <w:left w:val="single" w:sz="12" w:space="0" w:color="auto"/>
              <w:bottom w:val="nil"/>
              <w:right w:val="single" w:sz="12" w:space="0" w:color="auto"/>
            </w:tcBorders>
            <w:vAlign w:val="center"/>
            <w:hideMark/>
          </w:tcPr>
          <w:p w14:paraId="265F6707" w14:textId="77777777" w:rsidR="00674A0A" w:rsidRPr="00674A0A" w:rsidRDefault="00674A0A" w:rsidP="00674A0A">
            <w:pPr>
              <w:spacing w:after="0" w:line="240" w:lineRule="auto"/>
              <w:rPr>
                <w:rFonts w:eastAsia="Times New Roman" w:cs="Arial"/>
                <w:color w:val="000000"/>
              </w:rPr>
            </w:pPr>
          </w:p>
        </w:tc>
      </w:tr>
      <w:tr w:rsidR="00674A0A" w:rsidRPr="00674A0A" w14:paraId="473D1250" w14:textId="77777777" w:rsidTr="00214642">
        <w:trPr>
          <w:trHeight w:val="564"/>
        </w:trPr>
        <w:tc>
          <w:tcPr>
            <w:tcW w:w="2656" w:type="dxa"/>
            <w:tcBorders>
              <w:top w:val="nil"/>
              <w:left w:val="single" w:sz="12" w:space="0" w:color="auto"/>
              <w:bottom w:val="single" w:sz="12" w:space="0" w:color="auto"/>
              <w:right w:val="single" w:sz="12" w:space="0" w:color="auto"/>
            </w:tcBorders>
            <w:shd w:val="clear" w:color="auto" w:fill="auto"/>
            <w:vAlign w:val="center"/>
            <w:hideMark/>
          </w:tcPr>
          <w:p w14:paraId="683C0E67" w14:textId="77777777"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Suprapubic pain or tenderness</w:t>
            </w:r>
          </w:p>
        </w:tc>
        <w:tc>
          <w:tcPr>
            <w:tcW w:w="11734" w:type="dxa"/>
            <w:vMerge/>
            <w:tcBorders>
              <w:top w:val="single" w:sz="12" w:space="0" w:color="auto"/>
              <w:left w:val="single" w:sz="12" w:space="0" w:color="auto"/>
              <w:bottom w:val="nil"/>
              <w:right w:val="single" w:sz="12" w:space="0" w:color="auto"/>
            </w:tcBorders>
            <w:vAlign w:val="center"/>
            <w:hideMark/>
          </w:tcPr>
          <w:p w14:paraId="630162ED" w14:textId="77777777" w:rsidR="00674A0A" w:rsidRPr="00674A0A" w:rsidRDefault="00674A0A" w:rsidP="00674A0A">
            <w:pPr>
              <w:spacing w:after="0" w:line="240" w:lineRule="auto"/>
              <w:rPr>
                <w:rFonts w:eastAsia="Times New Roman" w:cs="Arial"/>
                <w:color w:val="000000"/>
              </w:rPr>
            </w:pPr>
          </w:p>
        </w:tc>
      </w:tr>
      <w:tr w:rsidR="00674A0A" w:rsidRPr="00674A0A" w14:paraId="7FCFDAA8" w14:textId="77777777" w:rsidTr="00674A0A">
        <w:trPr>
          <w:trHeight w:val="312"/>
        </w:trPr>
        <w:tc>
          <w:tcPr>
            <w:tcW w:w="2656" w:type="dxa"/>
            <w:tcBorders>
              <w:top w:val="nil"/>
              <w:left w:val="single" w:sz="12" w:space="0" w:color="auto"/>
              <w:bottom w:val="single" w:sz="12" w:space="0" w:color="auto"/>
              <w:right w:val="single" w:sz="12" w:space="0" w:color="auto"/>
            </w:tcBorders>
            <w:shd w:val="clear" w:color="auto" w:fill="auto"/>
            <w:noWrap/>
            <w:vAlign w:val="bottom"/>
            <w:hideMark/>
          </w:tcPr>
          <w:p w14:paraId="0CF45657" w14:textId="77777777"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Acute hematuria</w:t>
            </w:r>
          </w:p>
        </w:tc>
        <w:tc>
          <w:tcPr>
            <w:tcW w:w="11734" w:type="dxa"/>
            <w:vMerge/>
            <w:tcBorders>
              <w:top w:val="single" w:sz="12" w:space="0" w:color="auto"/>
              <w:left w:val="single" w:sz="12" w:space="0" w:color="auto"/>
              <w:bottom w:val="nil"/>
              <w:right w:val="single" w:sz="12" w:space="0" w:color="auto"/>
            </w:tcBorders>
            <w:vAlign w:val="center"/>
            <w:hideMark/>
          </w:tcPr>
          <w:p w14:paraId="14A101D4" w14:textId="77777777" w:rsidR="00674A0A" w:rsidRPr="00674A0A" w:rsidRDefault="00674A0A" w:rsidP="00674A0A">
            <w:pPr>
              <w:spacing w:after="0" w:line="240" w:lineRule="auto"/>
              <w:rPr>
                <w:rFonts w:eastAsia="Times New Roman" w:cs="Arial"/>
                <w:color w:val="000000"/>
              </w:rPr>
            </w:pPr>
          </w:p>
        </w:tc>
      </w:tr>
      <w:tr w:rsidR="00674A0A" w:rsidRPr="00674A0A" w14:paraId="767554EB" w14:textId="77777777" w:rsidTr="00674A0A">
        <w:trPr>
          <w:trHeight w:val="433"/>
        </w:trPr>
        <w:tc>
          <w:tcPr>
            <w:tcW w:w="2656" w:type="dxa"/>
            <w:vMerge w:val="restart"/>
            <w:tcBorders>
              <w:top w:val="nil"/>
              <w:left w:val="single" w:sz="12" w:space="0" w:color="auto"/>
              <w:bottom w:val="single" w:sz="12" w:space="0" w:color="000000"/>
              <w:right w:val="single" w:sz="12" w:space="0" w:color="auto"/>
            </w:tcBorders>
            <w:shd w:val="clear" w:color="auto" w:fill="auto"/>
            <w:vAlign w:val="bottom"/>
            <w:hideMark/>
          </w:tcPr>
          <w:p w14:paraId="64046B85" w14:textId="77777777"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Costovertebral or flank pain or tenderness</w:t>
            </w:r>
          </w:p>
        </w:tc>
        <w:tc>
          <w:tcPr>
            <w:tcW w:w="11734" w:type="dxa"/>
            <w:vMerge/>
            <w:tcBorders>
              <w:top w:val="single" w:sz="12" w:space="0" w:color="auto"/>
              <w:left w:val="single" w:sz="12" w:space="0" w:color="auto"/>
              <w:bottom w:val="nil"/>
              <w:right w:val="single" w:sz="12" w:space="0" w:color="auto"/>
            </w:tcBorders>
            <w:vAlign w:val="center"/>
            <w:hideMark/>
          </w:tcPr>
          <w:p w14:paraId="189DBD56" w14:textId="77777777" w:rsidR="00674A0A" w:rsidRPr="00674A0A" w:rsidRDefault="00674A0A" w:rsidP="00674A0A">
            <w:pPr>
              <w:spacing w:after="0" w:line="240" w:lineRule="auto"/>
              <w:rPr>
                <w:rFonts w:eastAsia="Times New Roman" w:cs="Arial"/>
                <w:color w:val="000000"/>
              </w:rPr>
            </w:pPr>
          </w:p>
        </w:tc>
      </w:tr>
      <w:tr w:rsidR="00674A0A" w:rsidRPr="00674A0A" w14:paraId="57C4DB3B" w14:textId="77777777" w:rsidTr="00214642">
        <w:trPr>
          <w:trHeight w:val="433"/>
        </w:trPr>
        <w:tc>
          <w:tcPr>
            <w:tcW w:w="2656" w:type="dxa"/>
            <w:vMerge/>
            <w:tcBorders>
              <w:top w:val="nil"/>
              <w:left w:val="single" w:sz="12" w:space="0" w:color="auto"/>
              <w:bottom w:val="single" w:sz="12" w:space="0" w:color="000000"/>
              <w:right w:val="single" w:sz="12" w:space="0" w:color="auto"/>
            </w:tcBorders>
            <w:vAlign w:val="center"/>
            <w:hideMark/>
          </w:tcPr>
          <w:p w14:paraId="0E47C2EB" w14:textId="77777777" w:rsidR="00674A0A" w:rsidRPr="00674A0A" w:rsidRDefault="00674A0A" w:rsidP="00674A0A">
            <w:pPr>
              <w:spacing w:after="0" w:line="240" w:lineRule="auto"/>
              <w:rPr>
                <w:rFonts w:eastAsia="Times New Roman" w:cs="Arial"/>
                <w:color w:val="000000"/>
              </w:rPr>
            </w:pPr>
          </w:p>
        </w:tc>
        <w:tc>
          <w:tcPr>
            <w:tcW w:w="11734" w:type="dxa"/>
            <w:vMerge/>
            <w:tcBorders>
              <w:top w:val="single" w:sz="12" w:space="0" w:color="auto"/>
              <w:left w:val="single" w:sz="12" w:space="0" w:color="auto"/>
              <w:bottom w:val="nil"/>
              <w:right w:val="single" w:sz="12" w:space="0" w:color="auto"/>
            </w:tcBorders>
            <w:vAlign w:val="center"/>
            <w:hideMark/>
          </w:tcPr>
          <w:p w14:paraId="720D7B79" w14:textId="77777777" w:rsidR="00674A0A" w:rsidRPr="00674A0A" w:rsidRDefault="00674A0A" w:rsidP="00674A0A">
            <w:pPr>
              <w:spacing w:after="0" w:line="240" w:lineRule="auto"/>
              <w:rPr>
                <w:rFonts w:eastAsia="Times New Roman" w:cs="Arial"/>
                <w:color w:val="000000"/>
              </w:rPr>
            </w:pPr>
          </w:p>
        </w:tc>
      </w:tr>
      <w:tr w:rsidR="00674A0A" w:rsidRPr="00674A0A" w14:paraId="3449E016" w14:textId="77777777" w:rsidTr="00674A0A">
        <w:trPr>
          <w:trHeight w:val="444"/>
        </w:trPr>
        <w:tc>
          <w:tcPr>
            <w:tcW w:w="2656" w:type="dxa"/>
            <w:vMerge w:val="restart"/>
            <w:tcBorders>
              <w:top w:val="nil"/>
              <w:left w:val="single" w:sz="12" w:space="0" w:color="auto"/>
              <w:bottom w:val="single" w:sz="12" w:space="0" w:color="auto"/>
              <w:right w:val="single" w:sz="12" w:space="0" w:color="auto"/>
            </w:tcBorders>
            <w:shd w:val="clear" w:color="auto" w:fill="auto"/>
            <w:vAlign w:val="center"/>
            <w:hideMark/>
          </w:tcPr>
          <w:p w14:paraId="361B5913" w14:textId="77777777"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Documentation of pyelonephritis</w:t>
            </w:r>
          </w:p>
        </w:tc>
        <w:tc>
          <w:tcPr>
            <w:tcW w:w="11734" w:type="dxa"/>
            <w:vMerge/>
            <w:tcBorders>
              <w:top w:val="single" w:sz="12" w:space="0" w:color="auto"/>
              <w:left w:val="single" w:sz="12" w:space="0" w:color="auto"/>
              <w:bottom w:val="nil"/>
              <w:right w:val="single" w:sz="12" w:space="0" w:color="auto"/>
            </w:tcBorders>
            <w:vAlign w:val="center"/>
            <w:hideMark/>
          </w:tcPr>
          <w:p w14:paraId="5235044B" w14:textId="77777777" w:rsidR="00674A0A" w:rsidRPr="00674A0A" w:rsidRDefault="00674A0A" w:rsidP="00674A0A">
            <w:pPr>
              <w:spacing w:after="0" w:line="240" w:lineRule="auto"/>
              <w:rPr>
                <w:rFonts w:eastAsia="Times New Roman" w:cs="Arial"/>
                <w:color w:val="000000"/>
              </w:rPr>
            </w:pPr>
          </w:p>
        </w:tc>
      </w:tr>
      <w:tr w:rsidR="00674A0A" w:rsidRPr="00674A0A" w14:paraId="1946A2B3" w14:textId="77777777" w:rsidTr="00214642">
        <w:trPr>
          <w:trHeight w:val="433"/>
        </w:trPr>
        <w:tc>
          <w:tcPr>
            <w:tcW w:w="2656" w:type="dxa"/>
            <w:vMerge/>
            <w:tcBorders>
              <w:top w:val="nil"/>
              <w:left w:val="single" w:sz="12" w:space="0" w:color="auto"/>
              <w:bottom w:val="single" w:sz="12" w:space="0" w:color="auto"/>
              <w:right w:val="single" w:sz="12" w:space="0" w:color="auto"/>
            </w:tcBorders>
            <w:vAlign w:val="center"/>
            <w:hideMark/>
          </w:tcPr>
          <w:p w14:paraId="112668FD" w14:textId="77777777" w:rsidR="00674A0A" w:rsidRPr="00674A0A" w:rsidRDefault="00674A0A" w:rsidP="00674A0A">
            <w:pPr>
              <w:spacing w:after="0" w:line="240" w:lineRule="auto"/>
              <w:rPr>
                <w:rFonts w:eastAsia="Times New Roman" w:cs="Arial"/>
                <w:color w:val="000000"/>
              </w:rPr>
            </w:pPr>
          </w:p>
        </w:tc>
        <w:tc>
          <w:tcPr>
            <w:tcW w:w="11734" w:type="dxa"/>
            <w:vMerge/>
            <w:tcBorders>
              <w:top w:val="single" w:sz="12" w:space="0" w:color="auto"/>
              <w:left w:val="single" w:sz="12" w:space="0" w:color="auto"/>
              <w:bottom w:val="nil"/>
              <w:right w:val="single" w:sz="12" w:space="0" w:color="auto"/>
            </w:tcBorders>
            <w:vAlign w:val="center"/>
            <w:hideMark/>
          </w:tcPr>
          <w:p w14:paraId="09965FD8" w14:textId="77777777" w:rsidR="00674A0A" w:rsidRPr="00674A0A" w:rsidRDefault="00674A0A" w:rsidP="00674A0A">
            <w:pPr>
              <w:spacing w:after="0" w:line="240" w:lineRule="auto"/>
              <w:rPr>
                <w:rFonts w:eastAsia="Times New Roman" w:cs="Arial"/>
                <w:color w:val="000000"/>
              </w:rPr>
            </w:pPr>
          </w:p>
        </w:tc>
      </w:tr>
      <w:tr w:rsidR="00674A0A" w:rsidRPr="00674A0A" w14:paraId="4A52D37C" w14:textId="77777777" w:rsidTr="00674A0A">
        <w:trPr>
          <w:trHeight w:val="312"/>
        </w:trPr>
        <w:tc>
          <w:tcPr>
            <w:tcW w:w="2656" w:type="dxa"/>
            <w:tcBorders>
              <w:top w:val="single" w:sz="12" w:space="0" w:color="auto"/>
              <w:left w:val="single" w:sz="12" w:space="0" w:color="auto"/>
              <w:bottom w:val="nil"/>
              <w:right w:val="single" w:sz="12" w:space="0" w:color="auto"/>
            </w:tcBorders>
            <w:shd w:val="clear" w:color="auto" w:fill="auto"/>
            <w:vAlign w:val="center"/>
            <w:hideMark/>
          </w:tcPr>
          <w:p w14:paraId="45DC5F87" w14:textId="77777777"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Fever (&gt;38 C)</w:t>
            </w:r>
          </w:p>
        </w:tc>
        <w:tc>
          <w:tcPr>
            <w:tcW w:w="11734" w:type="dxa"/>
            <w:vMerge/>
            <w:tcBorders>
              <w:top w:val="single" w:sz="12" w:space="0" w:color="auto"/>
              <w:left w:val="single" w:sz="12" w:space="0" w:color="auto"/>
              <w:bottom w:val="nil"/>
              <w:right w:val="single" w:sz="12" w:space="0" w:color="auto"/>
            </w:tcBorders>
            <w:vAlign w:val="center"/>
            <w:hideMark/>
          </w:tcPr>
          <w:p w14:paraId="3249A838" w14:textId="77777777" w:rsidR="00674A0A" w:rsidRPr="00674A0A" w:rsidRDefault="00674A0A" w:rsidP="00674A0A">
            <w:pPr>
              <w:spacing w:after="0" w:line="240" w:lineRule="auto"/>
              <w:rPr>
                <w:rFonts w:eastAsia="Times New Roman" w:cs="Arial"/>
                <w:color w:val="000000"/>
              </w:rPr>
            </w:pPr>
          </w:p>
        </w:tc>
      </w:tr>
      <w:tr w:rsidR="00674A0A" w:rsidRPr="00674A0A" w14:paraId="30801EFD" w14:textId="77777777" w:rsidTr="00214642">
        <w:trPr>
          <w:trHeight w:val="609"/>
        </w:trPr>
        <w:tc>
          <w:tcPr>
            <w:tcW w:w="2656" w:type="dxa"/>
            <w:vMerge w:val="restart"/>
            <w:tcBorders>
              <w:top w:val="single" w:sz="12" w:space="0" w:color="auto"/>
              <w:left w:val="single" w:sz="12" w:space="0" w:color="auto"/>
              <w:bottom w:val="single" w:sz="12" w:space="0" w:color="000000"/>
              <w:right w:val="nil"/>
            </w:tcBorders>
            <w:shd w:val="clear" w:color="auto" w:fill="auto"/>
            <w:vAlign w:val="center"/>
            <w:hideMark/>
          </w:tcPr>
          <w:p w14:paraId="66880F37" w14:textId="64AF5F21"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New onset mental status changes</w:t>
            </w:r>
            <w:r w:rsidR="00166484">
              <w:rPr>
                <w:rFonts w:eastAsia="Times New Roman" w:cs="Arial"/>
                <w:color w:val="000000"/>
              </w:rPr>
              <w:t xml:space="preserve"> WITH systemic signs of infection</w:t>
            </w:r>
          </w:p>
        </w:tc>
        <w:tc>
          <w:tcPr>
            <w:tcW w:w="11734" w:type="dxa"/>
            <w:tcBorders>
              <w:top w:val="single" w:sz="8" w:space="0" w:color="auto"/>
              <w:left w:val="single" w:sz="8" w:space="0" w:color="auto"/>
              <w:bottom w:val="nil"/>
              <w:right w:val="single" w:sz="8" w:space="0" w:color="auto"/>
            </w:tcBorders>
            <w:shd w:val="clear" w:color="auto" w:fill="auto"/>
            <w:vAlign w:val="center"/>
            <w:hideMark/>
          </w:tcPr>
          <w:p w14:paraId="0CBCA2A6" w14:textId="4EFBD592"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w:t>
            </w:r>
            <w:proofErr w:type="gramStart"/>
            <w:r w:rsidRPr="00674A0A">
              <w:rPr>
                <w:rFonts w:eastAsia="Times New Roman" w:cs="Arial"/>
                <w:color w:val="000000"/>
              </w:rPr>
              <w:t>new</w:t>
            </w:r>
            <w:proofErr w:type="gramEnd"/>
            <w:r w:rsidRPr="00674A0A">
              <w:rPr>
                <w:rFonts w:eastAsia="Times New Roman" w:cs="Arial"/>
                <w:color w:val="000000"/>
              </w:rPr>
              <w:t xml:space="preserve"> mental status changes" include any medical documentation in day -1 to +2 </w:t>
            </w:r>
            <w:r w:rsidR="00166484" w:rsidRPr="00674A0A">
              <w:rPr>
                <w:rFonts w:eastAsia="Times New Roman" w:cs="Arial"/>
                <w:color w:val="000000"/>
              </w:rPr>
              <w:t>indicating</w:t>
            </w:r>
            <w:r w:rsidRPr="00674A0A">
              <w:rPr>
                <w:rFonts w:eastAsia="Times New Roman" w:cs="Arial"/>
                <w:color w:val="000000"/>
              </w:rPr>
              <w:t xml:space="preserve"> the patient had new or worsening mental status (e.g., confusion, delirium, obtunded) </w:t>
            </w:r>
          </w:p>
        </w:tc>
      </w:tr>
      <w:tr w:rsidR="00674A0A" w:rsidRPr="00674A0A" w14:paraId="75E7E7DE" w14:textId="77777777" w:rsidTr="00674A0A">
        <w:trPr>
          <w:trHeight w:val="564"/>
        </w:trPr>
        <w:tc>
          <w:tcPr>
            <w:tcW w:w="2656" w:type="dxa"/>
            <w:vMerge/>
            <w:tcBorders>
              <w:top w:val="single" w:sz="12" w:space="0" w:color="auto"/>
              <w:left w:val="single" w:sz="12" w:space="0" w:color="auto"/>
              <w:bottom w:val="single" w:sz="12" w:space="0" w:color="000000"/>
              <w:right w:val="nil"/>
            </w:tcBorders>
            <w:vAlign w:val="center"/>
            <w:hideMark/>
          </w:tcPr>
          <w:p w14:paraId="3E31A22F" w14:textId="77777777" w:rsidR="00674A0A" w:rsidRPr="00674A0A" w:rsidRDefault="00674A0A" w:rsidP="00674A0A">
            <w:pPr>
              <w:spacing w:after="0" w:line="240" w:lineRule="auto"/>
              <w:rPr>
                <w:rFonts w:eastAsia="Times New Roman" w:cs="Arial"/>
                <w:color w:val="000000"/>
              </w:rPr>
            </w:pPr>
          </w:p>
        </w:tc>
        <w:tc>
          <w:tcPr>
            <w:tcW w:w="11734" w:type="dxa"/>
            <w:tcBorders>
              <w:top w:val="nil"/>
              <w:left w:val="single" w:sz="8" w:space="0" w:color="auto"/>
              <w:bottom w:val="nil"/>
              <w:right w:val="single" w:sz="8" w:space="0" w:color="auto"/>
            </w:tcBorders>
            <w:shd w:val="clear" w:color="auto" w:fill="auto"/>
            <w:vAlign w:val="center"/>
            <w:hideMark/>
          </w:tcPr>
          <w:p w14:paraId="1127A97D" w14:textId="09A43775"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 xml:space="preserve">EXCLUDE: Individuals with altered mental status at baseline that has not been documented as “worsening”. Exclude </w:t>
            </w:r>
            <w:r w:rsidR="00D61557">
              <w:rPr>
                <w:rFonts w:eastAsia="Times New Roman" w:cs="Arial"/>
                <w:color w:val="000000"/>
              </w:rPr>
              <w:t xml:space="preserve">visual, </w:t>
            </w:r>
            <w:proofErr w:type="gramStart"/>
            <w:r w:rsidR="00D61557">
              <w:rPr>
                <w:rFonts w:eastAsia="Times New Roman" w:cs="Arial"/>
                <w:color w:val="000000"/>
              </w:rPr>
              <w:t>tactile</w:t>
            </w:r>
            <w:proofErr w:type="gramEnd"/>
            <w:r w:rsidR="00D61557">
              <w:rPr>
                <w:rFonts w:eastAsia="Times New Roman" w:cs="Arial"/>
                <w:color w:val="000000"/>
              </w:rPr>
              <w:t xml:space="preserve"> or auditory </w:t>
            </w:r>
            <w:r w:rsidRPr="00674A0A">
              <w:rPr>
                <w:rFonts w:eastAsia="Times New Roman" w:cs="Arial"/>
                <w:color w:val="000000"/>
              </w:rPr>
              <w:t>hallucinations only.</w:t>
            </w:r>
          </w:p>
        </w:tc>
      </w:tr>
      <w:tr w:rsidR="00674A0A" w:rsidRPr="00674A0A" w14:paraId="26C2F4DB" w14:textId="77777777" w:rsidTr="00214642">
        <w:trPr>
          <w:trHeight w:val="366"/>
        </w:trPr>
        <w:tc>
          <w:tcPr>
            <w:tcW w:w="2656" w:type="dxa"/>
            <w:vMerge/>
            <w:tcBorders>
              <w:top w:val="single" w:sz="12" w:space="0" w:color="auto"/>
              <w:left w:val="single" w:sz="12" w:space="0" w:color="auto"/>
              <w:bottom w:val="single" w:sz="12" w:space="0" w:color="000000"/>
              <w:right w:val="nil"/>
            </w:tcBorders>
            <w:vAlign w:val="center"/>
            <w:hideMark/>
          </w:tcPr>
          <w:p w14:paraId="5CB72C2E" w14:textId="77777777" w:rsidR="00674A0A" w:rsidRPr="00674A0A" w:rsidRDefault="00674A0A" w:rsidP="00674A0A">
            <w:pPr>
              <w:spacing w:after="0" w:line="240" w:lineRule="auto"/>
              <w:rPr>
                <w:rFonts w:eastAsia="Times New Roman" w:cs="Arial"/>
                <w:color w:val="000000"/>
              </w:rPr>
            </w:pPr>
          </w:p>
        </w:tc>
        <w:tc>
          <w:tcPr>
            <w:tcW w:w="11734" w:type="dxa"/>
            <w:tcBorders>
              <w:top w:val="nil"/>
              <w:left w:val="single" w:sz="8" w:space="0" w:color="auto"/>
              <w:bottom w:val="nil"/>
              <w:right w:val="single" w:sz="8" w:space="0" w:color="auto"/>
            </w:tcBorders>
            <w:shd w:val="clear" w:color="auto" w:fill="auto"/>
            <w:vAlign w:val="center"/>
            <w:hideMark/>
          </w:tcPr>
          <w:p w14:paraId="7A26B65A" w14:textId="77777777" w:rsidR="00674A0A" w:rsidRPr="00674A0A" w:rsidRDefault="00674A0A" w:rsidP="00674A0A">
            <w:pPr>
              <w:spacing w:after="0" w:line="240" w:lineRule="auto"/>
              <w:rPr>
                <w:rFonts w:eastAsia="Times New Roman" w:cs="Arial"/>
                <w:color w:val="000000"/>
              </w:rPr>
            </w:pPr>
            <w:r w:rsidRPr="00674A0A">
              <w:rPr>
                <w:rFonts w:eastAsia="Times New Roman" w:cs="Arial"/>
                <w:color w:val="000000"/>
              </w:rPr>
              <w:t>INCLUDE: Documentation that the patient had a reduced level of consciousness, reduced awareness, comatose, etc.</w:t>
            </w:r>
          </w:p>
        </w:tc>
      </w:tr>
      <w:tr w:rsidR="00166484" w:rsidRPr="00674A0A" w14:paraId="425CCCDA" w14:textId="77777777" w:rsidTr="00214642">
        <w:trPr>
          <w:trHeight w:val="330"/>
        </w:trPr>
        <w:tc>
          <w:tcPr>
            <w:tcW w:w="2656" w:type="dxa"/>
            <w:vMerge w:val="restart"/>
            <w:tcBorders>
              <w:top w:val="single" w:sz="12" w:space="0" w:color="auto"/>
              <w:left w:val="single" w:sz="12" w:space="0" w:color="auto"/>
              <w:bottom w:val="single" w:sz="12" w:space="0" w:color="000000"/>
              <w:right w:val="nil"/>
            </w:tcBorders>
            <w:shd w:val="clear" w:color="auto" w:fill="auto"/>
            <w:vAlign w:val="center"/>
            <w:hideMark/>
          </w:tcPr>
          <w:p w14:paraId="538DB017" w14:textId="1368D6B4" w:rsidR="00166484" w:rsidRPr="00674A0A" w:rsidRDefault="00166484" w:rsidP="00166484">
            <w:pPr>
              <w:spacing w:after="0" w:line="240" w:lineRule="auto"/>
              <w:rPr>
                <w:rFonts w:eastAsia="Times New Roman" w:cs="Arial"/>
                <w:color w:val="000000"/>
              </w:rPr>
            </w:pPr>
            <w:r w:rsidRPr="00674A0A">
              <w:rPr>
                <w:rFonts w:eastAsia="Times New Roman" w:cs="Arial"/>
                <w:color w:val="000000"/>
              </w:rPr>
              <w:t>New onset mental status changes</w:t>
            </w:r>
            <w:r>
              <w:rPr>
                <w:rFonts w:eastAsia="Times New Roman" w:cs="Arial"/>
                <w:color w:val="000000"/>
              </w:rPr>
              <w:t xml:space="preserve"> WITHOUT systemic signs of infection</w:t>
            </w:r>
          </w:p>
        </w:tc>
        <w:tc>
          <w:tcPr>
            <w:tcW w:w="11734" w:type="dxa"/>
            <w:tcBorders>
              <w:top w:val="nil"/>
              <w:left w:val="single" w:sz="8" w:space="0" w:color="auto"/>
              <w:bottom w:val="nil"/>
              <w:right w:val="single" w:sz="8" w:space="0" w:color="auto"/>
            </w:tcBorders>
            <w:shd w:val="clear" w:color="auto" w:fill="auto"/>
            <w:vAlign w:val="center"/>
            <w:hideMark/>
          </w:tcPr>
          <w:p w14:paraId="7DA94AE1" w14:textId="328CCD2A" w:rsidR="00166484" w:rsidRPr="00674A0A" w:rsidRDefault="00166484" w:rsidP="00166484">
            <w:pPr>
              <w:spacing w:after="0" w:line="240" w:lineRule="auto"/>
              <w:rPr>
                <w:rFonts w:eastAsia="Times New Roman" w:cs="Arial"/>
                <w:color w:val="000000"/>
              </w:rPr>
            </w:pPr>
            <w:r>
              <w:rPr>
                <w:rFonts w:eastAsia="Times New Roman" w:cs="Arial"/>
                <w:color w:val="000000"/>
              </w:rPr>
              <w:t>Systemic signs of infection:</w:t>
            </w:r>
          </w:p>
        </w:tc>
      </w:tr>
      <w:tr w:rsidR="00166484" w:rsidRPr="00674A0A" w14:paraId="59643602" w14:textId="77777777" w:rsidTr="00674A0A">
        <w:trPr>
          <w:trHeight w:val="300"/>
        </w:trPr>
        <w:tc>
          <w:tcPr>
            <w:tcW w:w="2656" w:type="dxa"/>
            <w:vMerge/>
            <w:tcBorders>
              <w:top w:val="single" w:sz="12" w:space="0" w:color="auto"/>
              <w:left w:val="single" w:sz="12" w:space="0" w:color="auto"/>
              <w:bottom w:val="single" w:sz="12" w:space="0" w:color="000000"/>
              <w:right w:val="nil"/>
            </w:tcBorders>
            <w:vAlign w:val="center"/>
            <w:hideMark/>
          </w:tcPr>
          <w:p w14:paraId="7D2BA00F" w14:textId="77777777" w:rsidR="00166484" w:rsidRPr="00674A0A" w:rsidRDefault="00166484" w:rsidP="00166484">
            <w:pPr>
              <w:spacing w:after="0" w:line="240" w:lineRule="auto"/>
              <w:rPr>
                <w:rFonts w:eastAsia="Times New Roman" w:cs="Arial"/>
                <w:color w:val="000000"/>
              </w:rPr>
            </w:pPr>
          </w:p>
        </w:tc>
        <w:tc>
          <w:tcPr>
            <w:tcW w:w="11734" w:type="dxa"/>
            <w:tcBorders>
              <w:top w:val="nil"/>
              <w:left w:val="single" w:sz="8" w:space="0" w:color="auto"/>
              <w:bottom w:val="nil"/>
              <w:right w:val="single" w:sz="8" w:space="0" w:color="auto"/>
            </w:tcBorders>
            <w:shd w:val="clear" w:color="auto" w:fill="auto"/>
            <w:vAlign w:val="center"/>
            <w:hideMark/>
          </w:tcPr>
          <w:p w14:paraId="0DA849A0" w14:textId="77777777" w:rsidR="00166484" w:rsidRPr="00674A0A" w:rsidRDefault="00166484" w:rsidP="00166484">
            <w:pPr>
              <w:spacing w:after="0" w:line="240" w:lineRule="auto"/>
              <w:ind w:firstLineChars="400" w:firstLine="880"/>
              <w:rPr>
                <w:rFonts w:eastAsia="Times New Roman" w:cs="Arial"/>
                <w:color w:val="000000"/>
              </w:rPr>
            </w:pPr>
            <w:r w:rsidRPr="00674A0A">
              <w:rPr>
                <w:rFonts w:eastAsia="Times New Roman" w:cs="Arial"/>
                <w:color w:val="000000"/>
              </w:rPr>
              <w:t>Leukocytosis (&gt;10 K/</w:t>
            </w:r>
            <w:proofErr w:type="spellStart"/>
            <w:r w:rsidRPr="00674A0A">
              <w:rPr>
                <w:rFonts w:eastAsia="Times New Roman" w:cs="Arial"/>
                <w:color w:val="000000"/>
              </w:rPr>
              <w:t>uL</w:t>
            </w:r>
            <w:proofErr w:type="spellEnd"/>
            <w:r w:rsidRPr="00674A0A">
              <w:rPr>
                <w:rFonts w:eastAsia="Times New Roman" w:cs="Arial"/>
                <w:color w:val="000000"/>
              </w:rPr>
              <w:t>)</w:t>
            </w:r>
          </w:p>
        </w:tc>
      </w:tr>
      <w:tr w:rsidR="00166484" w:rsidRPr="00674A0A" w14:paraId="035664CC" w14:textId="77777777" w:rsidTr="00674A0A">
        <w:trPr>
          <w:trHeight w:val="279"/>
        </w:trPr>
        <w:tc>
          <w:tcPr>
            <w:tcW w:w="2656" w:type="dxa"/>
            <w:vMerge/>
            <w:tcBorders>
              <w:top w:val="single" w:sz="12" w:space="0" w:color="auto"/>
              <w:left w:val="single" w:sz="12" w:space="0" w:color="auto"/>
              <w:bottom w:val="single" w:sz="12" w:space="0" w:color="000000"/>
              <w:right w:val="nil"/>
            </w:tcBorders>
            <w:vAlign w:val="center"/>
            <w:hideMark/>
          </w:tcPr>
          <w:p w14:paraId="7478E023" w14:textId="77777777" w:rsidR="00166484" w:rsidRPr="00674A0A" w:rsidRDefault="00166484" w:rsidP="00166484">
            <w:pPr>
              <w:spacing w:after="0" w:line="240" w:lineRule="auto"/>
              <w:rPr>
                <w:rFonts w:eastAsia="Times New Roman" w:cs="Arial"/>
                <w:color w:val="000000"/>
              </w:rPr>
            </w:pPr>
          </w:p>
        </w:tc>
        <w:tc>
          <w:tcPr>
            <w:tcW w:w="11734" w:type="dxa"/>
            <w:tcBorders>
              <w:top w:val="nil"/>
              <w:left w:val="single" w:sz="8" w:space="0" w:color="auto"/>
              <w:bottom w:val="nil"/>
              <w:right w:val="single" w:sz="8" w:space="0" w:color="auto"/>
            </w:tcBorders>
            <w:shd w:val="clear" w:color="auto" w:fill="auto"/>
            <w:vAlign w:val="center"/>
            <w:hideMark/>
          </w:tcPr>
          <w:p w14:paraId="5C3B90C1" w14:textId="77777777" w:rsidR="00166484" w:rsidRPr="00674A0A" w:rsidRDefault="00166484" w:rsidP="00166484">
            <w:pPr>
              <w:spacing w:after="0" w:line="240" w:lineRule="auto"/>
              <w:ind w:firstLineChars="400" w:firstLine="880"/>
              <w:rPr>
                <w:rFonts w:eastAsia="Times New Roman" w:cs="Arial"/>
                <w:color w:val="000000"/>
              </w:rPr>
            </w:pPr>
            <w:r w:rsidRPr="00674A0A">
              <w:rPr>
                <w:rFonts w:eastAsia="Times New Roman" w:cs="Arial"/>
                <w:color w:val="000000"/>
              </w:rPr>
              <w:t>Hypotension (systolic blood pressure (SBP) &lt;90 mm Hg)</w:t>
            </w:r>
          </w:p>
        </w:tc>
      </w:tr>
      <w:tr w:rsidR="00166484" w:rsidRPr="00674A0A" w14:paraId="2BEEC639" w14:textId="77777777" w:rsidTr="00166484">
        <w:trPr>
          <w:trHeight w:val="285"/>
        </w:trPr>
        <w:tc>
          <w:tcPr>
            <w:tcW w:w="2656" w:type="dxa"/>
            <w:vMerge/>
            <w:tcBorders>
              <w:top w:val="single" w:sz="12" w:space="0" w:color="auto"/>
              <w:left w:val="single" w:sz="12" w:space="0" w:color="auto"/>
              <w:bottom w:val="single" w:sz="12" w:space="0" w:color="000000"/>
              <w:right w:val="nil"/>
            </w:tcBorders>
            <w:vAlign w:val="center"/>
            <w:hideMark/>
          </w:tcPr>
          <w:p w14:paraId="24658BCD" w14:textId="77777777" w:rsidR="00166484" w:rsidRPr="00674A0A" w:rsidRDefault="00166484" w:rsidP="00166484">
            <w:pPr>
              <w:spacing w:after="0" w:line="240" w:lineRule="auto"/>
              <w:rPr>
                <w:rFonts w:eastAsia="Times New Roman" w:cs="Arial"/>
                <w:color w:val="000000"/>
              </w:rPr>
            </w:pPr>
          </w:p>
        </w:tc>
        <w:tc>
          <w:tcPr>
            <w:tcW w:w="11734" w:type="dxa"/>
            <w:tcBorders>
              <w:top w:val="nil"/>
              <w:left w:val="single" w:sz="8" w:space="0" w:color="auto"/>
              <w:bottom w:val="single" w:sz="8" w:space="0" w:color="auto"/>
              <w:right w:val="single" w:sz="8" w:space="0" w:color="auto"/>
            </w:tcBorders>
            <w:shd w:val="clear" w:color="auto" w:fill="auto"/>
            <w:vAlign w:val="bottom"/>
            <w:hideMark/>
          </w:tcPr>
          <w:p w14:paraId="66B0F8F5" w14:textId="77777777" w:rsidR="00166484" w:rsidRPr="00674A0A" w:rsidRDefault="00166484" w:rsidP="00166484">
            <w:pPr>
              <w:spacing w:after="0" w:line="240" w:lineRule="auto"/>
              <w:ind w:firstLineChars="400" w:firstLine="880"/>
              <w:rPr>
                <w:rFonts w:eastAsia="Times New Roman" w:cs="Arial"/>
                <w:color w:val="000000"/>
              </w:rPr>
            </w:pPr>
            <w:r w:rsidRPr="00674A0A">
              <w:rPr>
                <w:rFonts w:eastAsia="Times New Roman" w:cs="Arial"/>
                <w:color w:val="000000"/>
              </w:rPr>
              <w:t>≥2 systemic inflammatory response syndrome (SIRS) criteria (see following page for SIRS definition)</w:t>
            </w:r>
          </w:p>
        </w:tc>
      </w:tr>
    </w:tbl>
    <w:p w14:paraId="278C7C61" w14:textId="7A27409D" w:rsidR="00166484" w:rsidRDefault="00166484" w:rsidP="00214642">
      <w:pPr>
        <w:spacing w:before="120"/>
      </w:pPr>
      <w:r>
        <w:t xml:space="preserve">If </w:t>
      </w:r>
      <w:r w:rsidRPr="00166484">
        <w:rPr>
          <w:u w:val="single"/>
        </w:rPr>
        <w:t>no data are available</w:t>
      </w:r>
      <w:r>
        <w:t xml:space="preserve"> for any of these days, please check “No data are available for this day”. If </w:t>
      </w:r>
      <w:r w:rsidR="00BE100F">
        <w:rPr>
          <w:u w:val="single"/>
        </w:rPr>
        <w:t>no signs or symptoms are present</w:t>
      </w:r>
      <w:r>
        <w:t xml:space="preserve">, please check the last box, “None of the above (all negative)”. This documents that data were available for review, and all criteria </w:t>
      </w:r>
      <w:r w:rsidR="00D61557">
        <w:t xml:space="preserve">available </w:t>
      </w:r>
      <w:r>
        <w:t>were negative.</w:t>
      </w:r>
    </w:p>
    <w:p w14:paraId="095546DF" w14:textId="38845BD8" w:rsidR="00166484" w:rsidRDefault="00BE100F" w:rsidP="00BE100F">
      <w:pPr>
        <w:pStyle w:val="Heading1"/>
      </w:pPr>
      <w:bookmarkStart w:id="23" w:name="_Toc115178828"/>
      <w:r>
        <w:lastRenderedPageBreak/>
        <w:t>Micro Data</w:t>
      </w:r>
      <w:bookmarkEnd w:id="23"/>
    </w:p>
    <w:p w14:paraId="2789060C" w14:textId="1ACAD730" w:rsidR="00BE100F" w:rsidRDefault="00BE100F" w:rsidP="00BE100F">
      <w:r w:rsidRPr="00166484">
        <w:t xml:space="preserve">Review the </w:t>
      </w:r>
      <w:r>
        <w:t>microbiology report</w:t>
      </w:r>
      <w:r w:rsidRPr="00166484">
        <w:t xml:space="preserve"> to</w:t>
      </w:r>
      <w:r>
        <w:t xml:space="preserve"> document: bacteria found in the urine culture; urinalysis results; blood culture results (if performed) and organism present in blood culture, if any. </w:t>
      </w:r>
    </w:p>
    <w:p w14:paraId="25BB4D5C" w14:textId="0C503C9C" w:rsidR="00BE100F" w:rsidRDefault="00BE100F" w:rsidP="00BE100F">
      <w:pPr>
        <w:pStyle w:val="Heading1"/>
      </w:pPr>
      <w:bookmarkStart w:id="24" w:name="_Toc115178829"/>
      <w:r>
        <w:t>Antibiotic Information</w:t>
      </w:r>
      <w:bookmarkEnd w:id="24"/>
    </w:p>
    <w:p w14:paraId="7D31ECFF" w14:textId="44402530" w:rsidR="00BE100F" w:rsidRDefault="00BE100F" w:rsidP="00BE100F">
      <w:r w:rsidRPr="00166484">
        <w:t>Review the medical record</w:t>
      </w:r>
      <w:r>
        <w:t xml:space="preserve"> and indicate the date the patient first received antibiotics. </w:t>
      </w:r>
    </w:p>
    <w:p w14:paraId="0C410646" w14:textId="77777777" w:rsidR="006776DE" w:rsidRDefault="004F2D3C" w:rsidP="00BE100F">
      <w:pPr>
        <w:rPr>
          <w:rFonts w:cs="Arial"/>
        </w:rPr>
      </w:pPr>
      <w:r w:rsidRPr="00BE100F">
        <w:rPr>
          <w:rFonts w:cs="Arial"/>
        </w:rPr>
        <w:t>Please enter all antibiotics ordered and administered during the hospital encounter (ER, observation unit, inpatient)</w:t>
      </w:r>
      <w:r w:rsidR="006776DE">
        <w:rPr>
          <w:rFonts w:cs="Arial"/>
        </w:rPr>
        <w:t xml:space="preserve"> EXCEPT:</w:t>
      </w:r>
      <w:r w:rsidRPr="00BE100F">
        <w:rPr>
          <w:rFonts w:cs="Arial"/>
        </w:rPr>
        <w:t xml:space="preserve"> </w:t>
      </w:r>
    </w:p>
    <w:p w14:paraId="7E03FE47" w14:textId="1BC0C73C" w:rsidR="006776DE" w:rsidRPr="006776DE" w:rsidRDefault="006776DE" w:rsidP="006776DE">
      <w:pPr>
        <w:pStyle w:val="ListParagraph"/>
        <w:numPr>
          <w:ilvl w:val="0"/>
          <w:numId w:val="11"/>
        </w:numPr>
        <w:rPr>
          <w:rFonts w:cs="Arial"/>
        </w:rPr>
      </w:pPr>
      <w:r w:rsidRPr="006776DE">
        <w:rPr>
          <w:rFonts w:cs="Arial"/>
        </w:rPr>
        <w:t>A</w:t>
      </w:r>
      <w:r w:rsidR="004F2D3C" w:rsidRPr="006776DE">
        <w:rPr>
          <w:rFonts w:cs="Arial"/>
        </w:rPr>
        <w:t>ntibiotics ordered, but not given</w:t>
      </w:r>
      <w:r w:rsidR="0046132B" w:rsidRPr="006776DE">
        <w:rPr>
          <w:rFonts w:cs="Arial"/>
        </w:rPr>
        <w:t xml:space="preserve">. </w:t>
      </w:r>
    </w:p>
    <w:p w14:paraId="5A30B28E" w14:textId="06B379F5" w:rsidR="006776DE" w:rsidRPr="006776DE" w:rsidRDefault="006776DE" w:rsidP="006776DE">
      <w:pPr>
        <w:pStyle w:val="ListParagraph"/>
        <w:numPr>
          <w:ilvl w:val="0"/>
          <w:numId w:val="11"/>
        </w:numPr>
        <w:rPr>
          <w:rFonts w:cs="Arial"/>
        </w:rPr>
      </w:pPr>
      <w:r>
        <w:rPr>
          <w:rFonts w:cs="Arial"/>
        </w:rPr>
        <w:t>P</w:t>
      </w:r>
      <w:r w:rsidR="004F2D3C" w:rsidRPr="006776DE">
        <w:rPr>
          <w:rFonts w:cs="Arial"/>
        </w:rPr>
        <w:t xml:space="preserve">erioperative antibiotics, including those administered pre-operative, during surgery, and post-operative up to one day after surgery (e.g., antibiotics ordered/administered for surgery only). </w:t>
      </w:r>
    </w:p>
    <w:p w14:paraId="0C703E21" w14:textId="10BC15BA" w:rsidR="004F2D3C" w:rsidRDefault="006776DE" w:rsidP="006776DE">
      <w:pPr>
        <w:pStyle w:val="ListParagraph"/>
        <w:numPr>
          <w:ilvl w:val="0"/>
          <w:numId w:val="11"/>
        </w:numPr>
      </w:pPr>
      <w:r>
        <w:rPr>
          <w:rFonts w:cs="Arial"/>
        </w:rPr>
        <w:t>A</w:t>
      </w:r>
      <w:r w:rsidR="004F2D3C" w:rsidRPr="006776DE">
        <w:rPr>
          <w:rFonts w:cs="Arial"/>
        </w:rPr>
        <w:t>ntibiotics given for prophylaxis of non-concomitant infections/conditions such as Common Variable Immune Deficiency (CVID), rosacea and Rheumatoid Arthritis, and Symptom of Inappropriate Antidiuretic Hormone Secretion</w:t>
      </w:r>
      <w:r w:rsidR="00D61557" w:rsidRPr="006776DE">
        <w:rPr>
          <w:rFonts w:cs="Arial"/>
        </w:rPr>
        <w:t xml:space="preserve"> (e.g., rifaximin)</w:t>
      </w:r>
    </w:p>
    <w:p w14:paraId="6BDF6DF6" w14:textId="385ABF78" w:rsidR="00BE100F" w:rsidRDefault="00BE100F" w:rsidP="00BE100F">
      <w:r>
        <w:t>Complete the questions for IV antibiotics received while inpatient and at discharge, if any, and for oral antibiotics received while inpatient and at discharge. If no antibiotics were received at discharge, please indicate.</w:t>
      </w:r>
    </w:p>
    <w:p w14:paraId="51281B87" w14:textId="50ECAC0D" w:rsidR="00BE100F" w:rsidRDefault="00BE100F" w:rsidP="00BE100F">
      <w:pPr>
        <w:pStyle w:val="Heading2"/>
        <w:rPr>
          <w:rStyle w:val="Heading2Char"/>
          <w:b/>
        </w:rPr>
      </w:pPr>
      <w:bookmarkStart w:id="25" w:name="_Toc115178830"/>
      <w:r w:rsidRPr="00BE100F">
        <w:rPr>
          <w:rStyle w:val="Heading2Char"/>
          <w:b/>
        </w:rPr>
        <w:t>Total inpatient IV antibiotic days</w:t>
      </w:r>
      <w:r>
        <w:rPr>
          <w:rStyle w:val="Heading2Char"/>
          <w:b/>
        </w:rPr>
        <w:t>:</w:t>
      </w:r>
      <w:bookmarkEnd w:id="25"/>
    </w:p>
    <w:p w14:paraId="3870D5B3" w14:textId="66EF6B6B" w:rsidR="00BE100F" w:rsidRDefault="00BE100F" w:rsidP="00BE100F">
      <w:r w:rsidRPr="00BE100F">
        <w:t>One inpatient day is considered one calendar day, which begins at 12:00 am and ends at 11:59 pm. The total number of IV antibiotic days equates to the number of calendar days on which a patient received an IV antibiotic. Please see above definition for what antibiotics are required to be submitted for each case.</w:t>
      </w:r>
    </w:p>
    <w:p w14:paraId="2CEED272" w14:textId="5A88C0E3" w:rsidR="004F2D3C" w:rsidRDefault="004F2D3C" w:rsidP="004F2D3C">
      <w:pPr>
        <w:pStyle w:val="Heading2"/>
        <w:rPr>
          <w:rStyle w:val="Heading2Char"/>
          <w:b/>
        </w:rPr>
      </w:pPr>
      <w:bookmarkStart w:id="26" w:name="_Toc115178831"/>
      <w:r w:rsidRPr="00BE100F">
        <w:rPr>
          <w:rStyle w:val="Heading2Char"/>
          <w:b/>
        </w:rPr>
        <w:t xml:space="preserve">Total inpatient </w:t>
      </w:r>
      <w:r>
        <w:rPr>
          <w:rStyle w:val="Heading2Char"/>
          <w:b/>
        </w:rPr>
        <w:t>oral</w:t>
      </w:r>
      <w:r w:rsidRPr="00BE100F">
        <w:rPr>
          <w:rStyle w:val="Heading2Char"/>
          <w:b/>
        </w:rPr>
        <w:t xml:space="preserve"> antibiotic days</w:t>
      </w:r>
      <w:r>
        <w:rPr>
          <w:rStyle w:val="Heading2Char"/>
          <w:b/>
        </w:rPr>
        <w:t>:</w:t>
      </w:r>
      <w:bookmarkEnd w:id="26"/>
    </w:p>
    <w:p w14:paraId="3F7FDCA3" w14:textId="77777777" w:rsidR="004F2D3C" w:rsidRDefault="004F2D3C" w:rsidP="004F2D3C">
      <w:r w:rsidRPr="00BE100F">
        <w:t>One inpatient day is considered one calendar day, which begins at 12:00 am and ends at 11:59 pm. The total number of IV antibiotic days equates to the number of calendar days on which a patient received an IV antibiotic. Please see above definition for what antibiotics are required to be submitted for each case.</w:t>
      </w:r>
    </w:p>
    <w:p w14:paraId="3AC78BEA" w14:textId="77777777" w:rsidR="00BE100F" w:rsidRDefault="00BE100F" w:rsidP="00BE100F">
      <w:pPr>
        <w:pStyle w:val="Heading2"/>
      </w:pPr>
      <w:bookmarkStart w:id="27" w:name="_Toc115178832"/>
      <w:r w:rsidRPr="00BE100F">
        <w:t>Total inpatient days (IV + oral):</w:t>
      </w:r>
      <w:bookmarkEnd w:id="27"/>
      <w:r w:rsidRPr="00BE100F">
        <w:t xml:space="preserve"> </w:t>
      </w:r>
    </w:p>
    <w:p w14:paraId="164EABD6" w14:textId="0AC3B1B2" w:rsidR="004F2D3C" w:rsidRPr="00BE100F" w:rsidRDefault="00D61557" w:rsidP="004F2D3C">
      <w:pPr>
        <w:rPr>
          <w:rFonts w:cs="Arial"/>
        </w:rPr>
      </w:pPr>
      <w:r>
        <w:rPr>
          <w:rFonts w:cs="Arial"/>
        </w:rPr>
        <w:t>T</w:t>
      </w:r>
      <w:r w:rsidR="004F2D3C" w:rsidRPr="00BE100F">
        <w:rPr>
          <w:rFonts w:cs="Arial"/>
        </w:rPr>
        <w:t>otal inpatient IV antibiotic days and total inpatient oral antibiotic days</w:t>
      </w:r>
      <w:r>
        <w:rPr>
          <w:rFonts w:cs="Arial"/>
        </w:rPr>
        <w:t xml:space="preserve"> (this could be less than inpatient IV plus oral added together if a patient received both IV and oral antibiotics on the same day).</w:t>
      </w:r>
    </w:p>
    <w:p w14:paraId="6A793BD4" w14:textId="4F15630E" w:rsidR="00BE100F" w:rsidRDefault="00BE100F" w:rsidP="00BE100F">
      <w:pPr>
        <w:pStyle w:val="Heading2"/>
      </w:pPr>
      <w:bookmarkStart w:id="28" w:name="_Toc115178833"/>
      <w:r w:rsidRPr="00BE100F">
        <w:t>Total discharge antibiotic days:</w:t>
      </w:r>
      <w:bookmarkEnd w:id="28"/>
      <w:r w:rsidRPr="00BE100F">
        <w:t xml:space="preserve"> </w:t>
      </w:r>
    </w:p>
    <w:p w14:paraId="0285F8C4" w14:textId="13FB6CAD" w:rsidR="001B67AD" w:rsidRPr="001B67AD" w:rsidRDefault="001B67AD" w:rsidP="001B67AD">
      <w:r w:rsidRPr="00BE100F">
        <w:rPr>
          <w:rFonts w:cs="Arial"/>
        </w:rPr>
        <w:t>Total discharge antibiotic days should be counted in calendar days and calendar "half-days" upon discharge. For example:</w:t>
      </w:r>
      <w:r>
        <w:rPr>
          <w:rFonts w:cs="Arial"/>
        </w:rPr>
        <w:t xml:space="preserve"> </w:t>
      </w:r>
      <w:r w:rsidRPr="001B67AD">
        <w:rPr>
          <w:rFonts w:cs="Arial"/>
        </w:rPr>
        <w:t xml:space="preserve">A patient given </w:t>
      </w:r>
      <w:proofErr w:type="spellStart"/>
      <w:r w:rsidRPr="001B67AD">
        <w:rPr>
          <w:rFonts w:cs="Arial"/>
        </w:rPr>
        <w:t>zosyn</w:t>
      </w:r>
      <w:proofErr w:type="spellEnd"/>
      <w:r w:rsidRPr="001B67AD">
        <w:rPr>
          <w:rFonts w:cs="Arial"/>
        </w:rPr>
        <w:t xml:space="preserve"> at 11:59 pm should still count as an entire day</w:t>
      </w:r>
      <w:r>
        <w:rPr>
          <w:rFonts w:cs="Arial"/>
        </w:rPr>
        <w:t xml:space="preserve">; </w:t>
      </w:r>
      <w:r w:rsidRPr="001B67AD">
        <w:rPr>
          <w:rFonts w:cs="Arial"/>
        </w:rPr>
        <w:t>A patient given one dose of cefuroxime while still in the hospital on the day of discharge would be   considered to have 1 day of antibiotic.</w:t>
      </w:r>
      <w:r>
        <w:rPr>
          <w:rFonts w:cs="Arial"/>
        </w:rPr>
        <w:t xml:space="preserve"> </w:t>
      </w:r>
      <w:r w:rsidRPr="00BE100F">
        <w:rPr>
          <w:rFonts w:cs="Arial"/>
        </w:rPr>
        <w:t xml:space="preserve"> If a patient was given one dose of cefuroxime to take at home on the evening of discharge this is counted as 0.5 days. A prescription for 7 doses of cefuroxime at discharge would be counted as 3.5 days.</w:t>
      </w:r>
    </w:p>
    <w:p w14:paraId="583BAA83" w14:textId="77777777" w:rsidR="00BE100F" w:rsidRDefault="00BE100F" w:rsidP="00BE100F">
      <w:pPr>
        <w:pStyle w:val="Heading2"/>
      </w:pPr>
      <w:bookmarkStart w:id="29" w:name="_Toc115178834"/>
      <w:r w:rsidRPr="00BE100F">
        <w:t>Total treatment antibiotic duration:</w:t>
      </w:r>
      <w:bookmarkEnd w:id="29"/>
      <w:r w:rsidRPr="00BE100F">
        <w:t xml:space="preserve"> </w:t>
      </w:r>
    </w:p>
    <w:p w14:paraId="30F29BB4" w14:textId="06D73DA4" w:rsidR="00BE100F" w:rsidRPr="00BE100F" w:rsidRDefault="00D64E56" w:rsidP="00BE100F">
      <w:r w:rsidRPr="00BE100F">
        <w:rPr>
          <w:rFonts w:cs="Arial"/>
        </w:rPr>
        <w:t>Sum of total inpatient antibiotic days and total discharge antibiotic days</w:t>
      </w:r>
      <w:r>
        <w:rPr>
          <w:rFonts w:cs="Arial"/>
        </w:rPr>
        <w:t>.</w:t>
      </w:r>
    </w:p>
    <w:p w14:paraId="73861F9C" w14:textId="77777777" w:rsidR="00BE100F" w:rsidRDefault="00BE100F" w:rsidP="00BE100F">
      <w:pPr>
        <w:pStyle w:val="Heading2"/>
      </w:pPr>
      <w:bookmarkStart w:id="30" w:name="_Toc114128076"/>
      <w:bookmarkStart w:id="31" w:name="_Toc115178835"/>
      <w:r w:rsidRPr="00BE100F">
        <w:lastRenderedPageBreak/>
        <w:t>Time abstractor finishes case review:</w:t>
      </w:r>
      <w:bookmarkEnd w:id="30"/>
      <w:bookmarkEnd w:id="31"/>
      <w:r w:rsidRPr="00BE100F">
        <w:t xml:space="preserve"> </w:t>
      </w:r>
    </w:p>
    <w:p w14:paraId="54578E5D" w14:textId="04094AC5" w:rsidR="00BE100F" w:rsidRPr="00BE100F" w:rsidRDefault="00BE100F" w:rsidP="00BE100F">
      <w:r w:rsidRPr="00BE100F">
        <w:t>Please note the time in which case abstraction was completed.</w:t>
      </w:r>
    </w:p>
    <w:p w14:paraId="371322EB" w14:textId="77777777" w:rsidR="00BE100F" w:rsidRDefault="00BE100F" w:rsidP="00BE100F">
      <w:pPr>
        <w:pStyle w:val="Heading2"/>
      </w:pPr>
      <w:bookmarkStart w:id="32" w:name="_Toc114128077"/>
      <w:bookmarkStart w:id="33" w:name="_Toc115178836"/>
      <w:r w:rsidRPr="00BE100F">
        <w:t>Total abstraction time:</w:t>
      </w:r>
      <w:bookmarkEnd w:id="32"/>
      <w:bookmarkEnd w:id="33"/>
      <w:r w:rsidRPr="00BE100F">
        <w:t xml:space="preserve"> </w:t>
      </w:r>
    </w:p>
    <w:p w14:paraId="2C0E5138" w14:textId="7B779EC7" w:rsidR="00BE100F" w:rsidRDefault="00BE100F" w:rsidP="00BE100F">
      <w:r>
        <w:t>Please enter the total amount of time for the case abstraction (subtract any time from interruptions)</w:t>
      </w:r>
    </w:p>
    <w:p w14:paraId="29665636" w14:textId="5104539B" w:rsidR="005B208B" w:rsidRDefault="00F606BC" w:rsidP="00770CC9">
      <w:pPr>
        <w:pStyle w:val="Heading1"/>
        <w:spacing w:before="120" w:after="120"/>
      </w:pPr>
      <w:bookmarkStart w:id="34" w:name="_Toc115178837"/>
      <w:proofErr w:type="spellStart"/>
      <w:r>
        <w:t>Antibiotics</w:t>
      </w:r>
      <w:bookmarkEnd w:id="34"/>
      <w:proofErr w:type="spellEnd"/>
    </w:p>
    <w:p w14:paraId="2617F873" w14:textId="12C5FFFE" w:rsidR="00B10A7E" w:rsidRPr="00B10A7E" w:rsidRDefault="00B10A7E" w:rsidP="00B10A7E">
      <w:r>
        <w:t xml:space="preserve">Primary and less common IV and oral antibiotics used to treat UTI. </w:t>
      </w:r>
    </w:p>
    <w:tbl>
      <w:tblPr>
        <w:tblStyle w:val="TableGrid"/>
        <w:tblW w:w="0" w:type="auto"/>
        <w:tblLayout w:type="fixed"/>
        <w:tblLook w:val="04A0" w:firstRow="1" w:lastRow="0" w:firstColumn="1" w:lastColumn="0" w:noHBand="0" w:noVBand="1"/>
      </w:tblPr>
      <w:tblGrid>
        <w:gridCol w:w="1885"/>
        <w:gridCol w:w="1890"/>
        <w:gridCol w:w="1621"/>
        <w:gridCol w:w="1799"/>
        <w:gridCol w:w="1890"/>
        <w:gridCol w:w="1890"/>
        <w:gridCol w:w="1530"/>
        <w:gridCol w:w="1620"/>
      </w:tblGrid>
      <w:tr w:rsidR="00B10A7E" w:rsidRPr="00F606BC" w14:paraId="2D28CD22" w14:textId="77777777" w:rsidTr="00915128">
        <w:trPr>
          <w:cantSplit/>
          <w:trHeight w:val="300"/>
          <w:tblHeader/>
        </w:trPr>
        <w:tc>
          <w:tcPr>
            <w:tcW w:w="1885" w:type="dxa"/>
            <w:shd w:val="clear" w:color="auto" w:fill="D9E2F3" w:themeFill="accent1" w:themeFillTint="33"/>
            <w:noWrap/>
            <w:hideMark/>
          </w:tcPr>
          <w:p w14:paraId="1A2FEF69" w14:textId="77777777" w:rsidR="00F606BC" w:rsidRPr="009178D0" w:rsidRDefault="00F606BC">
            <w:pPr>
              <w:rPr>
                <w:rFonts w:cs="Arial"/>
                <w:b/>
                <w:bCs/>
                <w:sz w:val="20"/>
                <w:szCs w:val="20"/>
              </w:rPr>
            </w:pPr>
            <w:r w:rsidRPr="009178D0">
              <w:rPr>
                <w:rFonts w:cs="Arial"/>
                <w:b/>
                <w:bCs/>
                <w:sz w:val="20"/>
                <w:szCs w:val="20"/>
              </w:rPr>
              <w:t>IV Generic - Primary</w:t>
            </w:r>
          </w:p>
        </w:tc>
        <w:tc>
          <w:tcPr>
            <w:tcW w:w="1890" w:type="dxa"/>
            <w:shd w:val="clear" w:color="auto" w:fill="D9E2F3" w:themeFill="accent1" w:themeFillTint="33"/>
            <w:noWrap/>
            <w:hideMark/>
          </w:tcPr>
          <w:p w14:paraId="3C00423F" w14:textId="77777777" w:rsidR="00F606BC" w:rsidRPr="009178D0" w:rsidRDefault="00F606BC">
            <w:pPr>
              <w:rPr>
                <w:rFonts w:cs="Arial"/>
                <w:b/>
                <w:bCs/>
                <w:sz w:val="20"/>
                <w:szCs w:val="20"/>
              </w:rPr>
            </w:pPr>
            <w:r w:rsidRPr="009178D0">
              <w:rPr>
                <w:rFonts w:cs="Arial"/>
                <w:b/>
                <w:bCs/>
                <w:sz w:val="20"/>
                <w:szCs w:val="20"/>
              </w:rPr>
              <w:t>IV Brand - Primary</w:t>
            </w:r>
          </w:p>
        </w:tc>
        <w:tc>
          <w:tcPr>
            <w:tcW w:w="1621" w:type="dxa"/>
            <w:shd w:val="clear" w:color="auto" w:fill="D9E2F3" w:themeFill="accent1" w:themeFillTint="33"/>
            <w:noWrap/>
            <w:hideMark/>
          </w:tcPr>
          <w:p w14:paraId="70FA4014" w14:textId="77777777" w:rsidR="00F606BC" w:rsidRPr="009178D0" w:rsidRDefault="00F606BC">
            <w:pPr>
              <w:rPr>
                <w:rFonts w:cs="Arial"/>
                <w:b/>
                <w:bCs/>
                <w:sz w:val="20"/>
                <w:szCs w:val="20"/>
              </w:rPr>
            </w:pPr>
            <w:r w:rsidRPr="009178D0">
              <w:rPr>
                <w:rFonts w:cs="Arial"/>
                <w:b/>
                <w:bCs/>
                <w:sz w:val="20"/>
                <w:szCs w:val="20"/>
              </w:rPr>
              <w:t>IV Generic - Less Common</w:t>
            </w:r>
          </w:p>
        </w:tc>
        <w:tc>
          <w:tcPr>
            <w:tcW w:w="1799" w:type="dxa"/>
            <w:shd w:val="clear" w:color="auto" w:fill="D9E2F3" w:themeFill="accent1" w:themeFillTint="33"/>
            <w:hideMark/>
          </w:tcPr>
          <w:p w14:paraId="4B792D43" w14:textId="77777777" w:rsidR="00F606BC" w:rsidRPr="009178D0" w:rsidRDefault="00F606BC">
            <w:pPr>
              <w:rPr>
                <w:rFonts w:cs="Arial"/>
                <w:b/>
                <w:bCs/>
                <w:sz w:val="20"/>
                <w:szCs w:val="20"/>
              </w:rPr>
            </w:pPr>
            <w:r w:rsidRPr="009178D0">
              <w:rPr>
                <w:rFonts w:cs="Arial"/>
                <w:b/>
                <w:bCs/>
                <w:sz w:val="20"/>
                <w:szCs w:val="20"/>
              </w:rPr>
              <w:t>IV Brand - Less Common</w:t>
            </w:r>
          </w:p>
        </w:tc>
        <w:tc>
          <w:tcPr>
            <w:tcW w:w="1890" w:type="dxa"/>
            <w:shd w:val="clear" w:color="auto" w:fill="D9E2F3" w:themeFill="accent1" w:themeFillTint="33"/>
            <w:noWrap/>
            <w:hideMark/>
          </w:tcPr>
          <w:p w14:paraId="02CA2FB2" w14:textId="77777777" w:rsidR="00F606BC" w:rsidRPr="009178D0" w:rsidRDefault="00F606BC">
            <w:pPr>
              <w:rPr>
                <w:rFonts w:cs="Arial"/>
                <w:b/>
                <w:bCs/>
                <w:sz w:val="20"/>
                <w:szCs w:val="20"/>
              </w:rPr>
            </w:pPr>
            <w:r w:rsidRPr="009178D0">
              <w:rPr>
                <w:rFonts w:cs="Arial"/>
                <w:b/>
                <w:bCs/>
                <w:sz w:val="20"/>
                <w:szCs w:val="20"/>
              </w:rPr>
              <w:t>Oral Generic - Primary</w:t>
            </w:r>
          </w:p>
        </w:tc>
        <w:tc>
          <w:tcPr>
            <w:tcW w:w="1890" w:type="dxa"/>
            <w:shd w:val="clear" w:color="auto" w:fill="D9E2F3" w:themeFill="accent1" w:themeFillTint="33"/>
            <w:hideMark/>
          </w:tcPr>
          <w:p w14:paraId="219476AA" w14:textId="77777777" w:rsidR="00F606BC" w:rsidRPr="009178D0" w:rsidRDefault="00F606BC">
            <w:pPr>
              <w:rPr>
                <w:rFonts w:cs="Arial"/>
                <w:b/>
                <w:bCs/>
                <w:sz w:val="20"/>
                <w:szCs w:val="20"/>
              </w:rPr>
            </w:pPr>
            <w:r w:rsidRPr="009178D0">
              <w:rPr>
                <w:rFonts w:cs="Arial"/>
                <w:b/>
                <w:bCs/>
                <w:sz w:val="20"/>
                <w:szCs w:val="20"/>
              </w:rPr>
              <w:t>Oral Brand - Primary</w:t>
            </w:r>
          </w:p>
        </w:tc>
        <w:tc>
          <w:tcPr>
            <w:tcW w:w="1530" w:type="dxa"/>
            <w:shd w:val="clear" w:color="auto" w:fill="D9E2F3" w:themeFill="accent1" w:themeFillTint="33"/>
            <w:noWrap/>
            <w:hideMark/>
          </w:tcPr>
          <w:p w14:paraId="579917AC" w14:textId="77777777" w:rsidR="00F606BC" w:rsidRPr="009178D0" w:rsidRDefault="00F606BC">
            <w:pPr>
              <w:rPr>
                <w:rFonts w:cs="Arial"/>
                <w:b/>
                <w:bCs/>
                <w:sz w:val="20"/>
                <w:szCs w:val="20"/>
              </w:rPr>
            </w:pPr>
            <w:r w:rsidRPr="009178D0">
              <w:rPr>
                <w:rFonts w:cs="Arial"/>
                <w:b/>
                <w:bCs/>
                <w:sz w:val="20"/>
                <w:szCs w:val="20"/>
              </w:rPr>
              <w:t>Oral Generic - Less Common</w:t>
            </w:r>
          </w:p>
        </w:tc>
        <w:tc>
          <w:tcPr>
            <w:tcW w:w="1620" w:type="dxa"/>
            <w:shd w:val="clear" w:color="auto" w:fill="D9E2F3" w:themeFill="accent1" w:themeFillTint="33"/>
            <w:noWrap/>
            <w:hideMark/>
          </w:tcPr>
          <w:p w14:paraId="272E1001" w14:textId="77777777" w:rsidR="00F606BC" w:rsidRPr="009178D0" w:rsidRDefault="00F606BC">
            <w:pPr>
              <w:rPr>
                <w:rFonts w:cs="Arial"/>
                <w:b/>
                <w:bCs/>
                <w:sz w:val="20"/>
                <w:szCs w:val="20"/>
              </w:rPr>
            </w:pPr>
            <w:r w:rsidRPr="009178D0">
              <w:rPr>
                <w:rFonts w:cs="Arial"/>
                <w:b/>
                <w:bCs/>
                <w:sz w:val="20"/>
                <w:szCs w:val="20"/>
              </w:rPr>
              <w:t>Oral Brand - Less Common</w:t>
            </w:r>
          </w:p>
        </w:tc>
      </w:tr>
      <w:tr w:rsidR="00B10A7E" w:rsidRPr="00F606BC" w14:paraId="65B31E93" w14:textId="77777777" w:rsidTr="00915128">
        <w:trPr>
          <w:trHeight w:val="828"/>
        </w:trPr>
        <w:tc>
          <w:tcPr>
            <w:tcW w:w="1885" w:type="dxa"/>
            <w:shd w:val="clear" w:color="auto" w:fill="B4C6E7" w:themeFill="accent1" w:themeFillTint="66"/>
            <w:noWrap/>
            <w:hideMark/>
          </w:tcPr>
          <w:p w14:paraId="115251DE" w14:textId="2BA88503" w:rsidR="00F606BC" w:rsidRPr="009178D0" w:rsidRDefault="00F606BC">
            <w:pPr>
              <w:rPr>
                <w:rFonts w:cs="Arial"/>
                <w:sz w:val="20"/>
                <w:szCs w:val="20"/>
              </w:rPr>
            </w:pPr>
            <w:r w:rsidRPr="009178D0">
              <w:rPr>
                <w:rFonts w:cs="Arial"/>
                <w:sz w:val="20"/>
                <w:szCs w:val="20"/>
              </w:rPr>
              <w:t>Ampicillin/</w:t>
            </w:r>
            <w:r w:rsidR="00B10A7E">
              <w:rPr>
                <w:rFonts w:cs="Arial"/>
                <w:sz w:val="20"/>
                <w:szCs w:val="20"/>
              </w:rPr>
              <w:t xml:space="preserve"> </w:t>
            </w:r>
            <w:r w:rsidRPr="009178D0">
              <w:rPr>
                <w:rFonts w:cs="Arial"/>
                <w:sz w:val="20"/>
                <w:szCs w:val="20"/>
              </w:rPr>
              <w:t xml:space="preserve">Sulbactam </w:t>
            </w:r>
          </w:p>
        </w:tc>
        <w:tc>
          <w:tcPr>
            <w:tcW w:w="1890" w:type="dxa"/>
            <w:hideMark/>
          </w:tcPr>
          <w:p w14:paraId="1E1B7430" w14:textId="77777777" w:rsidR="00F606BC" w:rsidRPr="009178D0" w:rsidRDefault="00F606BC">
            <w:pPr>
              <w:rPr>
                <w:rFonts w:cs="Arial"/>
                <w:sz w:val="20"/>
                <w:szCs w:val="20"/>
              </w:rPr>
            </w:pPr>
            <w:r w:rsidRPr="009178D0">
              <w:rPr>
                <w:rFonts w:cs="Arial"/>
                <w:sz w:val="20"/>
                <w:szCs w:val="20"/>
              </w:rPr>
              <w:t>Unasyn</w:t>
            </w:r>
          </w:p>
        </w:tc>
        <w:tc>
          <w:tcPr>
            <w:tcW w:w="1621" w:type="dxa"/>
            <w:shd w:val="clear" w:color="auto" w:fill="B4C6E7" w:themeFill="accent1" w:themeFillTint="66"/>
            <w:noWrap/>
            <w:hideMark/>
          </w:tcPr>
          <w:p w14:paraId="1E45144E" w14:textId="77777777" w:rsidR="00F606BC" w:rsidRPr="009178D0" w:rsidRDefault="00F606BC">
            <w:pPr>
              <w:rPr>
                <w:rFonts w:cs="Arial"/>
                <w:sz w:val="20"/>
                <w:szCs w:val="20"/>
              </w:rPr>
            </w:pPr>
            <w:r w:rsidRPr="009178D0">
              <w:rPr>
                <w:rFonts w:cs="Arial"/>
                <w:sz w:val="20"/>
                <w:szCs w:val="20"/>
              </w:rPr>
              <w:t>Amikacin</w:t>
            </w:r>
          </w:p>
        </w:tc>
        <w:tc>
          <w:tcPr>
            <w:tcW w:w="1799" w:type="dxa"/>
            <w:hideMark/>
          </w:tcPr>
          <w:p w14:paraId="5B28B705" w14:textId="77777777" w:rsidR="00F606BC" w:rsidRPr="009178D0" w:rsidRDefault="00F606BC">
            <w:pPr>
              <w:rPr>
                <w:rFonts w:cs="Arial"/>
                <w:sz w:val="20"/>
                <w:szCs w:val="20"/>
              </w:rPr>
            </w:pPr>
            <w:proofErr w:type="spellStart"/>
            <w:r w:rsidRPr="009178D0">
              <w:rPr>
                <w:rFonts w:cs="Arial"/>
                <w:sz w:val="20"/>
                <w:szCs w:val="20"/>
              </w:rPr>
              <w:t>Amikin</w:t>
            </w:r>
            <w:proofErr w:type="spellEnd"/>
          </w:p>
        </w:tc>
        <w:tc>
          <w:tcPr>
            <w:tcW w:w="1890" w:type="dxa"/>
            <w:shd w:val="clear" w:color="auto" w:fill="B4C6E7" w:themeFill="accent1" w:themeFillTint="66"/>
            <w:noWrap/>
            <w:hideMark/>
          </w:tcPr>
          <w:p w14:paraId="44022DFB" w14:textId="77777777" w:rsidR="00F606BC" w:rsidRPr="009178D0" w:rsidRDefault="00F606BC">
            <w:pPr>
              <w:rPr>
                <w:rFonts w:cs="Arial"/>
                <w:sz w:val="20"/>
                <w:szCs w:val="20"/>
              </w:rPr>
            </w:pPr>
            <w:r w:rsidRPr="009178D0">
              <w:rPr>
                <w:rFonts w:cs="Arial"/>
                <w:sz w:val="20"/>
                <w:szCs w:val="20"/>
              </w:rPr>
              <w:t xml:space="preserve">Amoxicillin </w:t>
            </w:r>
          </w:p>
        </w:tc>
        <w:tc>
          <w:tcPr>
            <w:tcW w:w="1890" w:type="dxa"/>
            <w:hideMark/>
          </w:tcPr>
          <w:p w14:paraId="22AAD6FE" w14:textId="77777777" w:rsidR="00F606BC" w:rsidRPr="009178D0" w:rsidRDefault="00F606BC">
            <w:pPr>
              <w:rPr>
                <w:rFonts w:cs="Arial"/>
                <w:sz w:val="20"/>
                <w:szCs w:val="20"/>
              </w:rPr>
            </w:pPr>
            <w:proofErr w:type="spellStart"/>
            <w:r w:rsidRPr="009178D0">
              <w:rPr>
                <w:rFonts w:cs="Arial"/>
                <w:sz w:val="20"/>
                <w:szCs w:val="20"/>
              </w:rPr>
              <w:t>Novamax</w:t>
            </w:r>
            <w:proofErr w:type="spellEnd"/>
            <w:r w:rsidRPr="009178D0">
              <w:rPr>
                <w:rFonts w:cs="Arial"/>
                <w:sz w:val="20"/>
                <w:szCs w:val="20"/>
              </w:rPr>
              <w:t xml:space="preserve">, Amoxil, </w:t>
            </w:r>
            <w:proofErr w:type="spellStart"/>
            <w:r w:rsidRPr="009178D0">
              <w:rPr>
                <w:rFonts w:cs="Arial"/>
                <w:sz w:val="20"/>
                <w:szCs w:val="20"/>
              </w:rPr>
              <w:t>Amoxicot</w:t>
            </w:r>
            <w:proofErr w:type="spellEnd"/>
            <w:r w:rsidRPr="009178D0">
              <w:rPr>
                <w:rFonts w:cs="Arial"/>
                <w:sz w:val="20"/>
                <w:szCs w:val="20"/>
              </w:rPr>
              <w:t xml:space="preserve">, </w:t>
            </w:r>
            <w:proofErr w:type="spellStart"/>
            <w:r w:rsidRPr="009178D0">
              <w:rPr>
                <w:rFonts w:cs="Arial"/>
                <w:sz w:val="20"/>
                <w:szCs w:val="20"/>
              </w:rPr>
              <w:t>Dispermax</w:t>
            </w:r>
            <w:proofErr w:type="spellEnd"/>
            <w:r w:rsidRPr="009178D0">
              <w:rPr>
                <w:rFonts w:cs="Arial"/>
                <w:sz w:val="20"/>
                <w:szCs w:val="20"/>
              </w:rPr>
              <w:t xml:space="preserve">, </w:t>
            </w:r>
            <w:proofErr w:type="spellStart"/>
            <w:r w:rsidRPr="009178D0">
              <w:rPr>
                <w:rFonts w:cs="Arial"/>
                <w:sz w:val="20"/>
                <w:szCs w:val="20"/>
              </w:rPr>
              <w:t>Moxatag</w:t>
            </w:r>
            <w:proofErr w:type="spellEnd"/>
            <w:r w:rsidRPr="009178D0">
              <w:rPr>
                <w:rFonts w:cs="Arial"/>
                <w:sz w:val="20"/>
                <w:szCs w:val="20"/>
              </w:rPr>
              <w:t xml:space="preserve">, </w:t>
            </w:r>
            <w:proofErr w:type="spellStart"/>
            <w:r w:rsidRPr="009178D0">
              <w:rPr>
                <w:rFonts w:cs="Arial"/>
                <w:sz w:val="20"/>
                <w:szCs w:val="20"/>
              </w:rPr>
              <w:t>Moxilin</w:t>
            </w:r>
            <w:proofErr w:type="spellEnd"/>
            <w:r w:rsidRPr="009178D0">
              <w:rPr>
                <w:rFonts w:cs="Arial"/>
                <w:sz w:val="20"/>
                <w:szCs w:val="20"/>
              </w:rPr>
              <w:t xml:space="preserve">, Trihydrate, </w:t>
            </w:r>
            <w:proofErr w:type="spellStart"/>
            <w:r w:rsidRPr="009178D0">
              <w:rPr>
                <w:rFonts w:cs="Arial"/>
                <w:sz w:val="20"/>
                <w:szCs w:val="20"/>
              </w:rPr>
              <w:t>Trimax</w:t>
            </w:r>
            <w:proofErr w:type="spellEnd"/>
            <w:r w:rsidRPr="009178D0">
              <w:rPr>
                <w:rFonts w:cs="Arial"/>
                <w:sz w:val="20"/>
                <w:szCs w:val="20"/>
              </w:rPr>
              <w:t xml:space="preserve">, </w:t>
            </w:r>
            <w:proofErr w:type="spellStart"/>
            <w:r w:rsidRPr="009178D0">
              <w:rPr>
                <w:rFonts w:cs="Arial"/>
                <w:sz w:val="20"/>
                <w:szCs w:val="20"/>
              </w:rPr>
              <w:t>Wymax</w:t>
            </w:r>
            <w:proofErr w:type="spellEnd"/>
          </w:p>
        </w:tc>
        <w:tc>
          <w:tcPr>
            <w:tcW w:w="1530" w:type="dxa"/>
            <w:shd w:val="clear" w:color="auto" w:fill="B4C6E7" w:themeFill="accent1" w:themeFillTint="66"/>
            <w:noWrap/>
            <w:hideMark/>
          </w:tcPr>
          <w:p w14:paraId="0F069BD4" w14:textId="77777777" w:rsidR="00F606BC" w:rsidRPr="009178D0" w:rsidRDefault="00F606BC">
            <w:pPr>
              <w:rPr>
                <w:rFonts w:cs="Arial"/>
                <w:sz w:val="20"/>
                <w:szCs w:val="20"/>
              </w:rPr>
            </w:pPr>
            <w:r w:rsidRPr="009178D0">
              <w:rPr>
                <w:rFonts w:cs="Arial"/>
                <w:sz w:val="20"/>
                <w:szCs w:val="20"/>
              </w:rPr>
              <w:t>Azithromycin</w:t>
            </w:r>
          </w:p>
        </w:tc>
        <w:tc>
          <w:tcPr>
            <w:tcW w:w="1620" w:type="dxa"/>
            <w:hideMark/>
          </w:tcPr>
          <w:p w14:paraId="0B94C76C" w14:textId="77777777" w:rsidR="00F606BC" w:rsidRPr="009178D0" w:rsidRDefault="00F606BC">
            <w:pPr>
              <w:rPr>
                <w:rFonts w:cs="Arial"/>
                <w:sz w:val="20"/>
                <w:szCs w:val="20"/>
              </w:rPr>
            </w:pPr>
            <w:r w:rsidRPr="009178D0">
              <w:rPr>
                <w:rFonts w:cs="Arial"/>
                <w:sz w:val="20"/>
                <w:szCs w:val="20"/>
              </w:rPr>
              <w:t xml:space="preserve">Zithromax, </w:t>
            </w:r>
            <w:proofErr w:type="spellStart"/>
            <w:r w:rsidRPr="009178D0">
              <w:rPr>
                <w:rFonts w:cs="Arial"/>
                <w:sz w:val="20"/>
                <w:szCs w:val="20"/>
              </w:rPr>
              <w:t>Sumamed</w:t>
            </w:r>
            <w:proofErr w:type="spellEnd"/>
            <w:r w:rsidRPr="009178D0">
              <w:rPr>
                <w:rFonts w:cs="Arial"/>
                <w:sz w:val="20"/>
                <w:szCs w:val="20"/>
              </w:rPr>
              <w:t xml:space="preserve">, </w:t>
            </w:r>
            <w:proofErr w:type="spellStart"/>
            <w:r w:rsidRPr="009178D0">
              <w:rPr>
                <w:rFonts w:cs="Arial"/>
                <w:sz w:val="20"/>
                <w:szCs w:val="20"/>
              </w:rPr>
              <w:t>Zitrocin</w:t>
            </w:r>
            <w:proofErr w:type="spellEnd"/>
          </w:p>
        </w:tc>
      </w:tr>
      <w:tr w:rsidR="00B10A7E" w:rsidRPr="00F606BC" w14:paraId="33A25E83" w14:textId="77777777" w:rsidTr="00915128">
        <w:trPr>
          <w:trHeight w:val="288"/>
        </w:trPr>
        <w:tc>
          <w:tcPr>
            <w:tcW w:w="1885" w:type="dxa"/>
            <w:shd w:val="clear" w:color="auto" w:fill="B4C6E7" w:themeFill="accent1" w:themeFillTint="66"/>
            <w:noWrap/>
            <w:hideMark/>
          </w:tcPr>
          <w:p w14:paraId="23A8CAEA" w14:textId="77777777" w:rsidR="00F606BC" w:rsidRPr="009178D0" w:rsidRDefault="00F606BC">
            <w:pPr>
              <w:rPr>
                <w:rFonts w:cs="Arial"/>
                <w:sz w:val="20"/>
                <w:szCs w:val="20"/>
              </w:rPr>
            </w:pPr>
            <w:r w:rsidRPr="009178D0">
              <w:rPr>
                <w:rFonts w:cs="Arial"/>
                <w:sz w:val="20"/>
                <w:szCs w:val="20"/>
              </w:rPr>
              <w:t>Cefazolin</w:t>
            </w:r>
          </w:p>
        </w:tc>
        <w:tc>
          <w:tcPr>
            <w:tcW w:w="1890" w:type="dxa"/>
            <w:hideMark/>
          </w:tcPr>
          <w:p w14:paraId="1D7D40DC" w14:textId="77777777" w:rsidR="00F606BC" w:rsidRPr="009178D0" w:rsidRDefault="00F606BC">
            <w:pPr>
              <w:rPr>
                <w:rFonts w:cs="Arial"/>
                <w:sz w:val="20"/>
                <w:szCs w:val="20"/>
              </w:rPr>
            </w:pPr>
            <w:r w:rsidRPr="009178D0">
              <w:rPr>
                <w:rFonts w:cs="Arial"/>
                <w:sz w:val="20"/>
                <w:szCs w:val="20"/>
              </w:rPr>
              <w:t xml:space="preserve">Ancef, </w:t>
            </w:r>
            <w:proofErr w:type="spellStart"/>
            <w:r w:rsidRPr="009178D0">
              <w:rPr>
                <w:rFonts w:cs="Arial"/>
                <w:sz w:val="20"/>
                <w:szCs w:val="20"/>
              </w:rPr>
              <w:t>Kefzol</w:t>
            </w:r>
            <w:proofErr w:type="spellEnd"/>
            <w:r w:rsidRPr="009178D0">
              <w:rPr>
                <w:rFonts w:cs="Arial"/>
                <w:sz w:val="20"/>
                <w:szCs w:val="20"/>
              </w:rPr>
              <w:t xml:space="preserve">, </w:t>
            </w:r>
            <w:proofErr w:type="spellStart"/>
            <w:r w:rsidRPr="009178D0">
              <w:rPr>
                <w:rFonts w:cs="Arial"/>
                <w:sz w:val="20"/>
                <w:szCs w:val="20"/>
              </w:rPr>
              <w:t>Zolicef</w:t>
            </w:r>
            <w:proofErr w:type="spellEnd"/>
          </w:p>
        </w:tc>
        <w:tc>
          <w:tcPr>
            <w:tcW w:w="1621" w:type="dxa"/>
            <w:shd w:val="clear" w:color="auto" w:fill="B4C6E7" w:themeFill="accent1" w:themeFillTint="66"/>
            <w:noWrap/>
            <w:hideMark/>
          </w:tcPr>
          <w:p w14:paraId="692E0732" w14:textId="77777777" w:rsidR="00F606BC" w:rsidRPr="009178D0" w:rsidRDefault="00F606BC">
            <w:pPr>
              <w:rPr>
                <w:rFonts w:cs="Arial"/>
                <w:sz w:val="20"/>
                <w:szCs w:val="20"/>
              </w:rPr>
            </w:pPr>
            <w:r w:rsidRPr="009178D0">
              <w:rPr>
                <w:rFonts w:cs="Arial"/>
                <w:sz w:val="20"/>
                <w:szCs w:val="20"/>
              </w:rPr>
              <w:t>Ampicillin</w:t>
            </w:r>
          </w:p>
        </w:tc>
        <w:tc>
          <w:tcPr>
            <w:tcW w:w="1799" w:type="dxa"/>
            <w:hideMark/>
          </w:tcPr>
          <w:p w14:paraId="25D6E9C0" w14:textId="77777777" w:rsidR="00F606BC" w:rsidRPr="009178D0" w:rsidRDefault="00F606BC">
            <w:pPr>
              <w:rPr>
                <w:rFonts w:cs="Arial"/>
                <w:sz w:val="20"/>
                <w:szCs w:val="20"/>
              </w:rPr>
            </w:pPr>
            <w:proofErr w:type="spellStart"/>
            <w:r w:rsidRPr="009178D0">
              <w:rPr>
                <w:rFonts w:cs="Arial"/>
                <w:sz w:val="20"/>
                <w:szCs w:val="20"/>
              </w:rPr>
              <w:t>Omnipen</w:t>
            </w:r>
            <w:proofErr w:type="spellEnd"/>
            <w:r w:rsidRPr="009178D0">
              <w:rPr>
                <w:rFonts w:cs="Arial"/>
                <w:sz w:val="20"/>
                <w:szCs w:val="20"/>
              </w:rPr>
              <w:t xml:space="preserve">, </w:t>
            </w:r>
            <w:proofErr w:type="spellStart"/>
            <w:r w:rsidRPr="009178D0">
              <w:rPr>
                <w:rFonts w:cs="Arial"/>
                <w:sz w:val="20"/>
                <w:szCs w:val="20"/>
              </w:rPr>
              <w:t>Principen</w:t>
            </w:r>
            <w:proofErr w:type="spellEnd"/>
            <w:r w:rsidRPr="009178D0">
              <w:rPr>
                <w:rFonts w:cs="Arial"/>
                <w:sz w:val="20"/>
                <w:szCs w:val="20"/>
              </w:rPr>
              <w:t xml:space="preserve">, </w:t>
            </w:r>
            <w:proofErr w:type="spellStart"/>
            <w:r w:rsidRPr="009178D0">
              <w:rPr>
                <w:rFonts w:cs="Arial"/>
                <w:sz w:val="20"/>
                <w:szCs w:val="20"/>
              </w:rPr>
              <w:t>Totacillin</w:t>
            </w:r>
            <w:proofErr w:type="spellEnd"/>
          </w:p>
        </w:tc>
        <w:tc>
          <w:tcPr>
            <w:tcW w:w="1890" w:type="dxa"/>
            <w:shd w:val="clear" w:color="auto" w:fill="B4C6E7" w:themeFill="accent1" w:themeFillTint="66"/>
            <w:noWrap/>
            <w:hideMark/>
          </w:tcPr>
          <w:p w14:paraId="40D22365" w14:textId="77777777" w:rsidR="00F606BC" w:rsidRPr="009178D0" w:rsidRDefault="00F606BC">
            <w:pPr>
              <w:rPr>
                <w:rFonts w:cs="Arial"/>
                <w:sz w:val="20"/>
                <w:szCs w:val="20"/>
              </w:rPr>
            </w:pPr>
            <w:r w:rsidRPr="009178D0">
              <w:rPr>
                <w:rFonts w:cs="Arial"/>
                <w:sz w:val="20"/>
                <w:szCs w:val="20"/>
              </w:rPr>
              <w:t>Amoxicillin-clavulanate</w:t>
            </w:r>
          </w:p>
        </w:tc>
        <w:tc>
          <w:tcPr>
            <w:tcW w:w="1890" w:type="dxa"/>
            <w:hideMark/>
          </w:tcPr>
          <w:p w14:paraId="58A4BFD1" w14:textId="77777777" w:rsidR="00F606BC" w:rsidRPr="009178D0" w:rsidRDefault="00F606BC">
            <w:pPr>
              <w:rPr>
                <w:rFonts w:cs="Arial"/>
                <w:sz w:val="20"/>
                <w:szCs w:val="20"/>
              </w:rPr>
            </w:pPr>
            <w:r w:rsidRPr="009178D0">
              <w:rPr>
                <w:rFonts w:cs="Arial"/>
                <w:sz w:val="20"/>
                <w:szCs w:val="20"/>
              </w:rPr>
              <w:t>Augmentin, Co-Amoxiclav</w:t>
            </w:r>
          </w:p>
        </w:tc>
        <w:tc>
          <w:tcPr>
            <w:tcW w:w="1530" w:type="dxa"/>
            <w:shd w:val="clear" w:color="auto" w:fill="B4C6E7" w:themeFill="accent1" w:themeFillTint="66"/>
            <w:noWrap/>
            <w:hideMark/>
          </w:tcPr>
          <w:p w14:paraId="435FA4DE" w14:textId="77777777" w:rsidR="00F606BC" w:rsidRPr="009178D0" w:rsidRDefault="00F606BC">
            <w:pPr>
              <w:rPr>
                <w:rFonts w:cs="Arial"/>
                <w:sz w:val="20"/>
                <w:szCs w:val="20"/>
              </w:rPr>
            </w:pPr>
            <w:r w:rsidRPr="009178D0">
              <w:rPr>
                <w:rFonts w:cs="Arial"/>
                <w:sz w:val="20"/>
                <w:szCs w:val="20"/>
              </w:rPr>
              <w:t>Clarithromycin</w:t>
            </w:r>
          </w:p>
        </w:tc>
        <w:tc>
          <w:tcPr>
            <w:tcW w:w="1620" w:type="dxa"/>
            <w:hideMark/>
          </w:tcPr>
          <w:p w14:paraId="4744C0B9" w14:textId="77777777" w:rsidR="00F606BC" w:rsidRPr="009178D0" w:rsidRDefault="00F606BC">
            <w:pPr>
              <w:rPr>
                <w:rFonts w:cs="Arial"/>
                <w:sz w:val="20"/>
                <w:szCs w:val="20"/>
              </w:rPr>
            </w:pPr>
            <w:r w:rsidRPr="009178D0">
              <w:rPr>
                <w:rFonts w:cs="Arial"/>
                <w:sz w:val="20"/>
                <w:szCs w:val="20"/>
              </w:rPr>
              <w:t>Biaxin</w:t>
            </w:r>
          </w:p>
        </w:tc>
      </w:tr>
      <w:tr w:rsidR="00B10A7E" w:rsidRPr="00F606BC" w14:paraId="30BAB695" w14:textId="77777777" w:rsidTr="00915128">
        <w:trPr>
          <w:trHeight w:val="288"/>
        </w:trPr>
        <w:tc>
          <w:tcPr>
            <w:tcW w:w="1885" w:type="dxa"/>
            <w:shd w:val="clear" w:color="auto" w:fill="B4C6E7" w:themeFill="accent1" w:themeFillTint="66"/>
            <w:noWrap/>
            <w:hideMark/>
          </w:tcPr>
          <w:p w14:paraId="7710913E" w14:textId="77777777" w:rsidR="00F606BC" w:rsidRPr="009178D0" w:rsidRDefault="00F606BC">
            <w:pPr>
              <w:rPr>
                <w:rFonts w:cs="Arial"/>
                <w:sz w:val="20"/>
                <w:szCs w:val="20"/>
              </w:rPr>
            </w:pPr>
            <w:r w:rsidRPr="009178D0">
              <w:rPr>
                <w:rFonts w:cs="Arial"/>
                <w:sz w:val="20"/>
                <w:szCs w:val="20"/>
              </w:rPr>
              <w:t>Cefepime</w:t>
            </w:r>
          </w:p>
        </w:tc>
        <w:tc>
          <w:tcPr>
            <w:tcW w:w="1890" w:type="dxa"/>
            <w:hideMark/>
          </w:tcPr>
          <w:p w14:paraId="51A0E691" w14:textId="77777777" w:rsidR="00F606BC" w:rsidRPr="009178D0" w:rsidRDefault="00F606BC">
            <w:pPr>
              <w:rPr>
                <w:rFonts w:cs="Arial"/>
                <w:sz w:val="20"/>
                <w:szCs w:val="20"/>
              </w:rPr>
            </w:pPr>
            <w:proofErr w:type="spellStart"/>
            <w:r w:rsidRPr="009178D0">
              <w:rPr>
                <w:rFonts w:cs="Arial"/>
                <w:sz w:val="20"/>
                <w:szCs w:val="20"/>
              </w:rPr>
              <w:t>Maxipime</w:t>
            </w:r>
            <w:proofErr w:type="spellEnd"/>
          </w:p>
        </w:tc>
        <w:tc>
          <w:tcPr>
            <w:tcW w:w="1621" w:type="dxa"/>
            <w:shd w:val="clear" w:color="auto" w:fill="B4C6E7" w:themeFill="accent1" w:themeFillTint="66"/>
            <w:noWrap/>
            <w:hideMark/>
          </w:tcPr>
          <w:p w14:paraId="24BA2A02" w14:textId="77777777" w:rsidR="00F606BC" w:rsidRPr="009178D0" w:rsidRDefault="00F606BC">
            <w:pPr>
              <w:rPr>
                <w:rFonts w:cs="Arial"/>
                <w:sz w:val="20"/>
                <w:szCs w:val="20"/>
              </w:rPr>
            </w:pPr>
            <w:r w:rsidRPr="009178D0">
              <w:rPr>
                <w:rFonts w:cs="Arial"/>
                <w:sz w:val="20"/>
                <w:szCs w:val="20"/>
              </w:rPr>
              <w:t>Azithromycin</w:t>
            </w:r>
          </w:p>
        </w:tc>
        <w:tc>
          <w:tcPr>
            <w:tcW w:w="1799" w:type="dxa"/>
            <w:hideMark/>
          </w:tcPr>
          <w:p w14:paraId="14EA66B2" w14:textId="77777777" w:rsidR="00F606BC" w:rsidRPr="009178D0" w:rsidRDefault="00F606BC">
            <w:pPr>
              <w:rPr>
                <w:rFonts w:cs="Arial"/>
                <w:sz w:val="20"/>
                <w:szCs w:val="20"/>
              </w:rPr>
            </w:pPr>
            <w:r w:rsidRPr="009178D0">
              <w:rPr>
                <w:rFonts w:cs="Arial"/>
                <w:sz w:val="20"/>
                <w:szCs w:val="20"/>
              </w:rPr>
              <w:t xml:space="preserve">Zithromax, </w:t>
            </w:r>
            <w:proofErr w:type="spellStart"/>
            <w:r w:rsidRPr="009178D0">
              <w:rPr>
                <w:rFonts w:cs="Arial"/>
                <w:sz w:val="20"/>
                <w:szCs w:val="20"/>
              </w:rPr>
              <w:t>Sumamed</w:t>
            </w:r>
            <w:proofErr w:type="spellEnd"/>
            <w:r w:rsidRPr="009178D0">
              <w:rPr>
                <w:rFonts w:cs="Arial"/>
                <w:sz w:val="20"/>
                <w:szCs w:val="20"/>
              </w:rPr>
              <w:t xml:space="preserve">, </w:t>
            </w:r>
            <w:proofErr w:type="spellStart"/>
            <w:r w:rsidRPr="009178D0">
              <w:rPr>
                <w:rFonts w:cs="Arial"/>
                <w:sz w:val="20"/>
                <w:szCs w:val="20"/>
              </w:rPr>
              <w:t>Zitrocin</w:t>
            </w:r>
            <w:proofErr w:type="spellEnd"/>
          </w:p>
        </w:tc>
        <w:tc>
          <w:tcPr>
            <w:tcW w:w="1890" w:type="dxa"/>
            <w:shd w:val="clear" w:color="auto" w:fill="B4C6E7" w:themeFill="accent1" w:themeFillTint="66"/>
            <w:noWrap/>
            <w:hideMark/>
          </w:tcPr>
          <w:p w14:paraId="7F727794" w14:textId="77777777" w:rsidR="00F606BC" w:rsidRPr="009178D0" w:rsidRDefault="00F606BC">
            <w:pPr>
              <w:rPr>
                <w:rFonts w:cs="Arial"/>
                <w:sz w:val="20"/>
                <w:szCs w:val="20"/>
              </w:rPr>
            </w:pPr>
            <w:r w:rsidRPr="009178D0">
              <w:rPr>
                <w:rFonts w:cs="Arial"/>
                <w:sz w:val="20"/>
                <w:szCs w:val="20"/>
              </w:rPr>
              <w:t xml:space="preserve">Cefdinir </w:t>
            </w:r>
          </w:p>
        </w:tc>
        <w:tc>
          <w:tcPr>
            <w:tcW w:w="1890" w:type="dxa"/>
            <w:hideMark/>
          </w:tcPr>
          <w:p w14:paraId="65625C74" w14:textId="77777777" w:rsidR="00F606BC" w:rsidRPr="009178D0" w:rsidRDefault="00F606BC">
            <w:pPr>
              <w:rPr>
                <w:rFonts w:cs="Arial"/>
                <w:sz w:val="20"/>
                <w:szCs w:val="20"/>
              </w:rPr>
            </w:pPr>
            <w:r w:rsidRPr="009178D0">
              <w:rPr>
                <w:rFonts w:cs="Arial"/>
                <w:sz w:val="20"/>
                <w:szCs w:val="20"/>
              </w:rPr>
              <w:t xml:space="preserve">Omnicef, </w:t>
            </w:r>
            <w:proofErr w:type="spellStart"/>
            <w:r w:rsidRPr="009178D0">
              <w:rPr>
                <w:rFonts w:cs="Arial"/>
                <w:sz w:val="20"/>
                <w:szCs w:val="20"/>
              </w:rPr>
              <w:t>Cefdiel</w:t>
            </w:r>
            <w:proofErr w:type="spellEnd"/>
          </w:p>
        </w:tc>
        <w:tc>
          <w:tcPr>
            <w:tcW w:w="1530" w:type="dxa"/>
            <w:shd w:val="clear" w:color="auto" w:fill="B4C6E7" w:themeFill="accent1" w:themeFillTint="66"/>
            <w:noWrap/>
            <w:hideMark/>
          </w:tcPr>
          <w:p w14:paraId="0981B95E" w14:textId="77777777" w:rsidR="00F606BC" w:rsidRPr="009178D0" w:rsidRDefault="00F606BC">
            <w:pPr>
              <w:rPr>
                <w:rFonts w:cs="Arial"/>
                <w:sz w:val="20"/>
                <w:szCs w:val="20"/>
              </w:rPr>
            </w:pPr>
            <w:r w:rsidRPr="009178D0">
              <w:rPr>
                <w:rFonts w:cs="Arial"/>
                <w:sz w:val="20"/>
                <w:szCs w:val="20"/>
              </w:rPr>
              <w:t>Delafloxacin</w:t>
            </w:r>
          </w:p>
        </w:tc>
        <w:tc>
          <w:tcPr>
            <w:tcW w:w="1620" w:type="dxa"/>
            <w:hideMark/>
          </w:tcPr>
          <w:p w14:paraId="50B0FBDA" w14:textId="77777777" w:rsidR="00F606BC" w:rsidRPr="009178D0" w:rsidRDefault="00F606BC">
            <w:pPr>
              <w:rPr>
                <w:rFonts w:cs="Arial"/>
                <w:sz w:val="20"/>
                <w:szCs w:val="20"/>
              </w:rPr>
            </w:pPr>
            <w:proofErr w:type="spellStart"/>
            <w:r w:rsidRPr="009178D0">
              <w:rPr>
                <w:rFonts w:cs="Arial"/>
                <w:sz w:val="20"/>
                <w:szCs w:val="20"/>
              </w:rPr>
              <w:t>Baxdela</w:t>
            </w:r>
            <w:proofErr w:type="spellEnd"/>
          </w:p>
        </w:tc>
      </w:tr>
      <w:tr w:rsidR="00B10A7E" w:rsidRPr="00F606BC" w14:paraId="5B81BD3C" w14:textId="77777777" w:rsidTr="00915128">
        <w:trPr>
          <w:trHeight w:val="288"/>
        </w:trPr>
        <w:tc>
          <w:tcPr>
            <w:tcW w:w="1885" w:type="dxa"/>
            <w:shd w:val="clear" w:color="auto" w:fill="B4C6E7" w:themeFill="accent1" w:themeFillTint="66"/>
            <w:noWrap/>
            <w:hideMark/>
          </w:tcPr>
          <w:p w14:paraId="05FB4A8C" w14:textId="77777777" w:rsidR="00F606BC" w:rsidRPr="009178D0" w:rsidRDefault="00F606BC">
            <w:pPr>
              <w:rPr>
                <w:rFonts w:cs="Arial"/>
                <w:sz w:val="20"/>
                <w:szCs w:val="20"/>
              </w:rPr>
            </w:pPr>
            <w:r w:rsidRPr="009178D0">
              <w:rPr>
                <w:rFonts w:cs="Arial"/>
                <w:sz w:val="20"/>
                <w:szCs w:val="20"/>
              </w:rPr>
              <w:t xml:space="preserve">Ceftriaxone </w:t>
            </w:r>
          </w:p>
        </w:tc>
        <w:tc>
          <w:tcPr>
            <w:tcW w:w="1890" w:type="dxa"/>
            <w:hideMark/>
          </w:tcPr>
          <w:p w14:paraId="14679D3A" w14:textId="77777777" w:rsidR="00F606BC" w:rsidRPr="009178D0" w:rsidRDefault="00F606BC">
            <w:pPr>
              <w:rPr>
                <w:rFonts w:cs="Arial"/>
                <w:sz w:val="20"/>
                <w:szCs w:val="20"/>
              </w:rPr>
            </w:pPr>
            <w:r w:rsidRPr="009178D0">
              <w:rPr>
                <w:rFonts w:cs="Arial"/>
                <w:sz w:val="20"/>
                <w:szCs w:val="20"/>
              </w:rPr>
              <w:t>Rocephin</w:t>
            </w:r>
          </w:p>
        </w:tc>
        <w:tc>
          <w:tcPr>
            <w:tcW w:w="1621" w:type="dxa"/>
            <w:shd w:val="clear" w:color="auto" w:fill="B4C6E7" w:themeFill="accent1" w:themeFillTint="66"/>
            <w:noWrap/>
            <w:hideMark/>
          </w:tcPr>
          <w:p w14:paraId="66076EAB" w14:textId="77777777" w:rsidR="00F606BC" w:rsidRPr="009178D0" w:rsidRDefault="00F606BC">
            <w:pPr>
              <w:rPr>
                <w:rFonts w:cs="Arial"/>
                <w:sz w:val="20"/>
                <w:szCs w:val="20"/>
              </w:rPr>
            </w:pPr>
            <w:r w:rsidRPr="009178D0">
              <w:rPr>
                <w:rFonts w:cs="Arial"/>
                <w:sz w:val="20"/>
                <w:szCs w:val="20"/>
              </w:rPr>
              <w:t>Aztreonam</w:t>
            </w:r>
          </w:p>
        </w:tc>
        <w:tc>
          <w:tcPr>
            <w:tcW w:w="1799" w:type="dxa"/>
            <w:hideMark/>
          </w:tcPr>
          <w:p w14:paraId="462D8397" w14:textId="77777777" w:rsidR="00F606BC" w:rsidRPr="009178D0" w:rsidRDefault="00F606BC">
            <w:pPr>
              <w:rPr>
                <w:rFonts w:cs="Arial"/>
                <w:sz w:val="20"/>
                <w:szCs w:val="20"/>
              </w:rPr>
            </w:pPr>
            <w:proofErr w:type="spellStart"/>
            <w:r w:rsidRPr="009178D0">
              <w:rPr>
                <w:rFonts w:cs="Arial"/>
                <w:sz w:val="20"/>
                <w:szCs w:val="20"/>
              </w:rPr>
              <w:t>Azactam</w:t>
            </w:r>
            <w:proofErr w:type="spellEnd"/>
          </w:p>
        </w:tc>
        <w:tc>
          <w:tcPr>
            <w:tcW w:w="1890" w:type="dxa"/>
            <w:shd w:val="clear" w:color="auto" w:fill="B4C6E7" w:themeFill="accent1" w:themeFillTint="66"/>
            <w:noWrap/>
            <w:hideMark/>
          </w:tcPr>
          <w:p w14:paraId="5B1E2028" w14:textId="77777777" w:rsidR="00F606BC" w:rsidRPr="009178D0" w:rsidRDefault="00F606BC">
            <w:pPr>
              <w:rPr>
                <w:rFonts w:cs="Arial"/>
                <w:sz w:val="20"/>
                <w:szCs w:val="20"/>
              </w:rPr>
            </w:pPr>
            <w:r w:rsidRPr="009178D0">
              <w:rPr>
                <w:rFonts w:cs="Arial"/>
                <w:sz w:val="20"/>
                <w:szCs w:val="20"/>
              </w:rPr>
              <w:t>Cefixime</w:t>
            </w:r>
          </w:p>
        </w:tc>
        <w:tc>
          <w:tcPr>
            <w:tcW w:w="1890" w:type="dxa"/>
            <w:hideMark/>
          </w:tcPr>
          <w:p w14:paraId="2DC47261" w14:textId="77777777" w:rsidR="00F606BC" w:rsidRPr="009178D0" w:rsidRDefault="00F606BC">
            <w:pPr>
              <w:rPr>
                <w:rFonts w:cs="Arial"/>
                <w:sz w:val="20"/>
                <w:szCs w:val="20"/>
              </w:rPr>
            </w:pPr>
            <w:proofErr w:type="spellStart"/>
            <w:r w:rsidRPr="009178D0">
              <w:rPr>
                <w:rFonts w:cs="Arial"/>
                <w:sz w:val="20"/>
                <w:szCs w:val="20"/>
              </w:rPr>
              <w:t>Suprax</w:t>
            </w:r>
            <w:proofErr w:type="spellEnd"/>
          </w:p>
        </w:tc>
        <w:tc>
          <w:tcPr>
            <w:tcW w:w="1530" w:type="dxa"/>
            <w:shd w:val="clear" w:color="auto" w:fill="B4C6E7" w:themeFill="accent1" w:themeFillTint="66"/>
            <w:noWrap/>
            <w:hideMark/>
          </w:tcPr>
          <w:p w14:paraId="6464B087" w14:textId="77777777" w:rsidR="00F606BC" w:rsidRPr="009178D0" w:rsidRDefault="00F606BC">
            <w:pPr>
              <w:rPr>
                <w:rFonts w:cs="Arial"/>
                <w:sz w:val="20"/>
                <w:szCs w:val="20"/>
              </w:rPr>
            </w:pPr>
            <w:r w:rsidRPr="009178D0">
              <w:rPr>
                <w:rFonts w:cs="Arial"/>
                <w:sz w:val="20"/>
                <w:szCs w:val="20"/>
              </w:rPr>
              <w:t>Dicloxacillin</w:t>
            </w:r>
          </w:p>
        </w:tc>
        <w:tc>
          <w:tcPr>
            <w:tcW w:w="1620" w:type="dxa"/>
            <w:hideMark/>
          </w:tcPr>
          <w:p w14:paraId="05D51B37" w14:textId="77777777" w:rsidR="00F606BC" w:rsidRPr="009178D0" w:rsidRDefault="00F606BC">
            <w:pPr>
              <w:rPr>
                <w:rFonts w:cs="Arial"/>
                <w:sz w:val="20"/>
                <w:szCs w:val="20"/>
              </w:rPr>
            </w:pPr>
            <w:proofErr w:type="spellStart"/>
            <w:r w:rsidRPr="009178D0">
              <w:rPr>
                <w:rFonts w:cs="Arial"/>
                <w:sz w:val="20"/>
                <w:szCs w:val="20"/>
              </w:rPr>
              <w:t>Dycill</w:t>
            </w:r>
            <w:proofErr w:type="spellEnd"/>
            <w:r w:rsidRPr="009178D0">
              <w:rPr>
                <w:rFonts w:cs="Arial"/>
                <w:sz w:val="20"/>
                <w:szCs w:val="20"/>
              </w:rPr>
              <w:t xml:space="preserve">, </w:t>
            </w:r>
            <w:proofErr w:type="spellStart"/>
            <w:r w:rsidRPr="009178D0">
              <w:rPr>
                <w:rFonts w:cs="Arial"/>
                <w:sz w:val="20"/>
                <w:szCs w:val="20"/>
              </w:rPr>
              <w:t>Dynapen</w:t>
            </w:r>
            <w:proofErr w:type="spellEnd"/>
          </w:p>
        </w:tc>
      </w:tr>
      <w:tr w:rsidR="00B10A7E" w:rsidRPr="00F606BC" w14:paraId="0A9A6D5E" w14:textId="77777777" w:rsidTr="00915128">
        <w:trPr>
          <w:trHeight w:val="288"/>
        </w:trPr>
        <w:tc>
          <w:tcPr>
            <w:tcW w:w="1885" w:type="dxa"/>
            <w:shd w:val="clear" w:color="auto" w:fill="B4C6E7" w:themeFill="accent1" w:themeFillTint="66"/>
            <w:noWrap/>
            <w:hideMark/>
          </w:tcPr>
          <w:p w14:paraId="1B457FBD" w14:textId="77777777" w:rsidR="00F606BC" w:rsidRPr="009178D0" w:rsidRDefault="00F606BC">
            <w:pPr>
              <w:rPr>
                <w:rFonts w:cs="Arial"/>
                <w:sz w:val="20"/>
                <w:szCs w:val="20"/>
              </w:rPr>
            </w:pPr>
            <w:r w:rsidRPr="009178D0">
              <w:rPr>
                <w:rFonts w:cs="Arial"/>
                <w:sz w:val="20"/>
                <w:szCs w:val="20"/>
              </w:rPr>
              <w:t xml:space="preserve">Ciprofloxacin </w:t>
            </w:r>
          </w:p>
        </w:tc>
        <w:tc>
          <w:tcPr>
            <w:tcW w:w="1890" w:type="dxa"/>
            <w:hideMark/>
          </w:tcPr>
          <w:p w14:paraId="54424070" w14:textId="77777777" w:rsidR="00F606BC" w:rsidRPr="009178D0" w:rsidRDefault="00F606BC">
            <w:pPr>
              <w:rPr>
                <w:rFonts w:cs="Arial"/>
                <w:sz w:val="20"/>
                <w:szCs w:val="20"/>
              </w:rPr>
            </w:pPr>
            <w:r w:rsidRPr="009178D0">
              <w:rPr>
                <w:rFonts w:cs="Arial"/>
                <w:sz w:val="20"/>
                <w:szCs w:val="20"/>
              </w:rPr>
              <w:t xml:space="preserve">Cipro, </w:t>
            </w:r>
            <w:proofErr w:type="spellStart"/>
            <w:r w:rsidRPr="009178D0">
              <w:rPr>
                <w:rFonts w:cs="Arial"/>
                <w:sz w:val="20"/>
                <w:szCs w:val="20"/>
              </w:rPr>
              <w:t>Ciproxin</w:t>
            </w:r>
            <w:proofErr w:type="spellEnd"/>
            <w:r w:rsidRPr="009178D0">
              <w:rPr>
                <w:rFonts w:cs="Arial"/>
                <w:sz w:val="20"/>
                <w:szCs w:val="20"/>
              </w:rPr>
              <w:t xml:space="preserve">, </w:t>
            </w:r>
            <w:proofErr w:type="spellStart"/>
            <w:r w:rsidRPr="009178D0">
              <w:rPr>
                <w:rFonts w:cs="Arial"/>
                <w:sz w:val="20"/>
                <w:szCs w:val="20"/>
              </w:rPr>
              <w:t>Ciprobay</w:t>
            </w:r>
            <w:proofErr w:type="spellEnd"/>
          </w:p>
        </w:tc>
        <w:tc>
          <w:tcPr>
            <w:tcW w:w="1621" w:type="dxa"/>
            <w:shd w:val="clear" w:color="auto" w:fill="B4C6E7" w:themeFill="accent1" w:themeFillTint="66"/>
            <w:noWrap/>
            <w:hideMark/>
          </w:tcPr>
          <w:p w14:paraId="0CAEED2B" w14:textId="77777777" w:rsidR="00F606BC" w:rsidRPr="009178D0" w:rsidRDefault="00F606BC">
            <w:pPr>
              <w:rPr>
                <w:rFonts w:cs="Arial"/>
                <w:sz w:val="20"/>
                <w:szCs w:val="20"/>
              </w:rPr>
            </w:pPr>
            <w:r w:rsidRPr="009178D0">
              <w:rPr>
                <w:rFonts w:cs="Arial"/>
                <w:sz w:val="20"/>
                <w:szCs w:val="20"/>
              </w:rPr>
              <w:t>Cefotaxime</w:t>
            </w:r>
          </w:p>
        </w:tc>
        <w:tc>
          <w:tcPr>
            <w:tcW w:w="1799" w:type="dxa"/>
            <w:hideMark/>
          </w:tcPr>
          <w:p w14:paraId="2DCD545A" w14:textId="77777777" w:rsidR="00F606BC" w:rsidRPr="009178D0" w:rsidRDefault="00F606BC">
            <w:pPr>
              <w:rPr>
                <w:rFonts w:cs="Arial"/>
                <w:sz w:val="20"/>
                <w:szCs w:val="20"/>
              </w:rPr>
            </w:pPr>
            <w:proofErr w:type="spellStart"/>
            <w:r w:rsidRPr="009178D0">
              <w:rPr>
                <w:rFonts w:cs="Arial"/>
                <w:sz w:val="20"/>
                <w:szCs w:val="20"/>
              </w:rPr>
              <w:t>Cephotaxime</w:t>
            </w:r>
            <w:proofErr w:type="spellEnd"/>
            <w:r w:rsidRPr="009178D0">
              <w:rPr>
                <w:rFonts w:cs="Arial"/>
                <w:sz w:val="20"/>
                <w:szCs w:val="20"/>
              </w:rPr>
              <w:t xml:space="preserve">, </w:t>
            </w:r>
            <w:proofErr w:type="spellStart"/>
            <w:r w:rsidRPr="009178D0">
              <w:rPr>
                <w:rFonts w:cs="Arial"/>
                <w:sz w:val="20"/>
                <w:szCs w:val="20"/>
              </w:rPr>
              <w:t>Claforan</w:t>
            </w:r>
            <w:proofErr w:type="spellEnd"/>
          </w:p>
        </w:tc>
        <w:tc>
          <w:tcPr>
            <w:tcW w:w="1890" w:type="dxa"/>
            <w:shd w:val="clear" w:color="auto" w:fill="B4C6E7" w:themeFill="accent1" w:themeFillTint="66"/>
            <w:noWrap/>
            <w:hideMark/>
          </w:tcPr>
          <w:p w14:paraId="3929D058" w14:textId="77777777" w:rsidR="00F606BC" w:rsidRPr="009178D0" w:rsidRDefault="00F606BC">
            <w:pPr>
              <w:rPr>
                <w:rFonts w:cs="Arial"/>
                <w:sz w:val="20"/>
                <w:szCs w:val="20"/>
              </w:rPr>
            </w:pPr>
            <w:r w:rsidRPr="009178D0">
              <w:rPr>
                <w:rFonts w:cs="Arial"/>
                <w:sz w:val="20"/>
                <w:szCs w:val="20"/>
              </w:rPr>
              <w:t>Cefpodoxime</w:t>
            </w:r>
          </w:p>
        </w:tc>
        <w:tc>
          <w:tcPr>
            <w:tcW w:w="1890" w:type="dxa"/>
            <w:hideMark/>
          </w:tcPr>
          <w:p w14:paraId="142A9D08" w14:textId="77777777" w:rsidR="00F606BC" w:rsidRPr="009178D0" w:rsidRDefault="00F606BC">
            <w:pPr>
              <w:rPr>
                <w:rFonts w:cs="Arial"/>
                <w:sz w:val="20"/>
                <w:szCs w:val="20"/>
              </w:rPr>
            </w:pPr>
            <w:r w:rsidRPr="009178D0">
              <w:rPr>
                <w:rFonts w:cs="Arial"/>
                <w:sz w:val="20"/>
                <w:szCs w:val="20"/>
              </w:rPr>
              <w:t>n/a</w:t>
            </w:r>
          </w:p>
        </w:tc>
        <w:tc>
          <w:tcPr>
            <w:tcW w:w="1530" w:type="dxa"/>
            <w:shd w:val="clear" w:color="auto" w:fill="B4C6E7" w:themeFill="accent1" w:themeFillTint="66"/>
            <w:noWrap/>
            <w:hideMark/>
          </w:tcPr>
          <w:p w14:paraId="41D7064F" w14:textId="77777777" w:rsidR="00F606BC" w:rsidRPr="009178D0" w:rsidRDefault="00F606BC">
            <w:pPr>
              <w:rPr>
                <w:rFonts w:cs="Arial"/>
                <w:sz w:val="20"/>
                <w:szCs w:val="20"/>
              </w:rPr>
            </w:pPr>
            <w:r w:rsidRPr="009178D0">
              <w:rPr>
                <w:rFonts w:cs="Arial"/>
                <w:sz w:val="20"/>
                <w:szCs w:val="20"/>
              </w:rPr>
              <w:t xml:space="preserve">Linezolid </w:t>
            </w:r>
          </w:p>
        </w:tc>
        <w:tc>
          <w:tcPr>
            <w:tcW w:w="1620" w:type="dxa"/>
            <w:hideMark/>
          </w:tcPr>
          <w:p w14:paraId="7119ECB2" w14:textId="77777777" w:rsidR="00F606BC" w:rsidRPr="009178D0" w:rsidRDefault="00F606BC">
            <w:pPr>
              <w:rPr>
                <w:rFonts w:cs="Arial"/>
                <w:sz w:val="20"/>
                <w:szCs w:val="20"/>
              </w:rPr>
            </w:pPr>
            <w:proofErr w:type="spellStart"/>
            <w:r w:rsidRPr="009178D0">
              <w:rPr>
                <w:rFonts w:cs="Arial"/>
                <w:sz w:val="20"/>
                <w:szCs w:val="20"/>
              </w:rPr>
              <w:t>Zyvox</w:t>
            </w:r>
            <w:proofErr w:type="spellEnd"/>
          </w:p>
        </w:tc>
      </w:tr>
      <w:tr w:rsidR="00B10A7E" w:rsidRPr="00F606BC" w14:paraId="1FB22B66" w14:textId="77777777" w:rsidTr="00915128">
        <w:trPr>
          <w:trHeight w:val="552"/>
        </w:trPr>
        <w:tc>
          <w:tcPr>
            <w:tcW w:w="1885" w:type="dxa"/>
            <w:shd w:val="clear" w:color="auto" w:fill="B4C6E7" w:themeFill="accent1" w:themeFillTint="66"/>
            <w:noWrap/>
            <w:hideMark/>
          </w:tcPr>
          <w:p w14:paraId="616256A2" w14:textId="77777777" w:rsidR="00B10A7E" w:rsidRPr="009178D0" w:rsidRDefault="00B10A7E" w:rsidP="00B10A7E">
            <w:pPr>
              <w:rPr>
                <w:rFonts w:cs="Arial"/>
                <w:sz w:val="20"/>
                <w:szCs w:val="20"/>
              </w:rPr>
            </w:pPr>
            <w:r w:rsidRPr="009178D0">
              <w:rPr>
                <w:rFonts w:cs="Arial"/>
                <w:sz w:val="20"/>
                <w:szCs w:val="20"/>
              </w:rPr>
              <w:t>Ertapenem</w:t>
            </w:r>
          </w:p>
        </w:tc>
        <w:tc>
          <w:tcPr>
            <w:tcW w:w="1890" w:type="dxa"/>
            <w:hideMark/>
          </w:tcPr>
          <w:p w14:paraId="14A27A7E" w14:textId="77777777" w:rsidR="00B10A7E" w:rsidRPr="009178D0" w:rsidRDefault="00B10A7E" w:rsidP="00B10A7E">
            <w:pPr>
              <w:rPr>
                <w:rFonts w:cs="Arial"/>
                <w:sz w:val="20"/>
                <w:szCs w:val="20"/>
              </w:rPr>
            </w:pPr>
            <w:proofErr w:type="spellStart"/>
            <w:r w:rsidRPr="009178D0">
              <w:rPr>
                <w:rFonts w:cs="Arial"/>
                <w:sz w:val="20"/>
                <w:szCs w:val="20"/>
              </w:rPr>
              <w:t>Invanz</w:t>
            </w:r>
            <w:proofErr w:type="spellEnd"/>
          </w:p>
        </w:tc>
        <w:tc>
          <w:tcPr>
            <w:tcW w:w="1621" w:type="dxa"/>
            <w:shd w:val="clear" w:color="auto" w:fill="B4C6E7" w:themeFill="accent1" w:themeFillTint="66"/>
            <w:noWrap/>
            <w:hideMark/>
          </w:tcPr>
          <w:p w14:paraId="3841EDFE" w14:textId="77777777" w:rsidR="00B10A7E" w:rsidRPr="009178D0" w:rsidRDefault="00B10A7E" w:rsidP="00B10A7E">
            <w:pPr>
              <w:rPr>
                <w:rFonts w:cs="Arial"/>
                <w:sz w:val="20"/>
                <w:szCs w:val="20"/>
              </w:rPr>
            </w:pPr>
            <w:r w:rsidRPr="009178D0">
              <w:rPr>
                <w:rFonts w:cs="Arial"/>
                <w:sz w:val="20"/>
                <w:szCs w:val="20"/>
              </w:rPr>
              <w:t>Cefotetan</w:t>
            </w:r>
          </w:p>
        </w:tc>
        <w:tc>
          <w:tcPr>
            <w:tcW w:w="1799" w:type="dxa"/>
            <w:hideMark/>
          </w:tcPr>
          <w:p w14:paraId="54540848" w14:textId="77777777" w:rsidR="00B10A7E" w:rsidRPr="009178D0" w:rsidRDefault="00B10A7E" w:rsidP="00B10A7E">
            <w:pPr>
              <w:rPr>
                <w:rFonts w:cs="Arial"/>
                <w:sz w:val="20"/>
                <w:szCs w:val="20"/>
              </w:rPr>
            </w:pPr>
            <w:proofErr w:type="spellStart"/>
            <w:r w:rsidRPr="009178D0">
              <w:rPr>
                <w:rFonts w:cs="Arial"/>
                <w:sz w:val="20"/>
                <w:szCs w:val="20"/>
              </w:rPr>
              <w:t>Cefotan</w:t>
            </w:r>
            <w:proofErr w:type="spellEnd"/>
          </w:p>
        </w:tc>
        <w:tc>
          <w:tcPr>
            <w:tcW w:w="1890" w:type="dxa"/>
            <w:shd w:val="clear" w:color="auto" w:fill="B4C6E7" w:themeFill="accent1" w:themeFillTint="66"/>
            <w:noWrap/>
          </w:tcPr>
          <w:p w14:paraId="36CE9849" w14:textId="46B08C02" w:rsidR="00B10A7E" w:rsidRPr="009178D0" w:rsidRDefault="00B10A7E" w:rsidP="00B10A7E">
            <w:pPr>
              <w:rPr>
                <w:rFonts w:cs="Arial"/>
                <w:sz w:val="20"/>
                <w:szCs w:val="20"/>
              </w:rPr>
            </w:pPr>
            <w:r w:rsidRPr="009178D0">
              <w:rPr>
                <w:rFonts w:cs="Arial"/>
                <w:sz w:val="20"/>
                <w:szCs w:val="20"/>
              </w:rPr>
              <w:t xml:space="preserve">Cefuroxime </w:t>
            </w:r>
          </w:p>
        </w:tc>
        <w:tc>
          <w:tcPr>
            <w:tcW w:w="1890" w:type="dxa"/>
          </w:tcPr>
          <w:p w14:paraId="2EB4F21A" w14:textId="7DF80E67" w:rsidR="00B10A7E" w:rsidRPr="009178D0" w:rsidRDefault="00B10A7E" w:rsidP="00B10A7E">
            <w:pPr>
              <w:rPr>
                <w:rFonts w:cs="Arial"/>
                <w:sz w:val="20"/>
                <w:szCs w:val="20"/>
              </w:rPr>
            </w:pPr>
            <w:r w:rsidRPr="009178D0">
              <w:rPr>
                <w:rFonts w:cs="Arial"/>
                <w:sz w:val="20"/>
                <w:szCs w:val="20"/>
              </w:rPr>
              <w:t xml:space="preserve">Ceftin, </w:t>
            </w:r>
            <w:proofErr w:type="spellStart"/>
            <w:r w:rsidRPr="009178D0">
              <w:rPr>
                <w:rFonts w:cs="Arial"/>
                <w:sz w:val="20"/>
                <w:szCs w:val="20"/>
              </w:rPr>
              <w:t>Kefurox</w:t>
            </w:r>
            <w:proofErr w:type="spellEnd"/>
            <w:r w:rsidRPr="009178D0">
              <w:rPr>
                <w:rFonts w:cs="Arial"/>
                <w:sz w:val="20"/>
                <w:szCs w:val="20"/>
              </w:rPr>
              <w:t xml:space="preserve">, </w:t>
            </w:r>
            <w:proofErr w:type="spellStart"/>
            <w:r w:rsidRPr="009178D0">
              <w:rPr>
                <w:rFonts w:cs="Arial"/>
                <w:sz w:val="20"/>
                <w:szCs w:val="20"/>
              </w:rPr>
              <w:t>Zinacef</w:t>
            </w:r>
            <w:proofErr w:type="spellEnd"/>
          </w:p>
        </w:tc>
        <w:tc>
          <w:tcPr>
            <w:tcW w:w="1530" w:type="dxa"/>
            <w:shd w:val="clear" w:color="auto" w:fill="B4C6E7" w:themeFill="accent1" w:themeFillTint="66"/>
            <w:noWrap/>
            <w:hideMark/>
          </w:tcPr>
          <w:p w14:paraId="6EB89128" w14:textId="77777777" w:rsidR="00B10A7E" w:rsidRPr="009178D0" w:rsidRDefault="00B10A7E" w:rsidP="00B10A7E">
            <w:pPr>
              <w:rPr>
                <w:rFonts w:cs="Arial"/>
                <w:sz w:val="20"/>
                <w:szCs w:val="20"/>
              </w:rPr>
            </w:pPr>
            <w:r w:rsidRPr="009178D0">
              <w:rPr>
                <w:rFonts w:cs="Arial"/>
                <w:sz w:val="20"/>
                <w:szCs w:val="20"/>
              </w:rPr>
              <w:t>Metronidazole</w:t>
            </w:r>
          </w:p>
        </w:tc>
        <w:tc>
          <w:tcPr>
            <w:tcW w:w="1620" w:type="dxa"/>
            <w:hideMark/>
          </w:tcPr>
          <w:p w14:paraId="39A590D6" w14:textId="77777777" w:rsidR="00B10A7E" w:rsidRPr="009178D0" w:rsidRDefault="00B10A7E" w:rsidP="00B10A7E">
            <w:pPr>
              <w:rPr>
                <w:rFonts w:cs="Arial"/>
                <w:sz w:val="20"/>
                <w:szCs w:val="20"/>
              </w:rPr>
            </w:pPr>
            <w:r w:rsidRPr="009178D0">
              <w:rPr>
                <w:rFonts w:cs="Arial"/>
                <w:sz w:val="20"/>
                <w:szCs w:val="20"/>
              </w:rPr>
              <w:t>Flagyl</w:t>
            </w:r>
          </w:p>
        </w:tc>
      </w:tr>
      <w:tr w:rsidR="00B10A7E" w:rsidRPr="00F606BC" w14:paraId="1ABF6BDD" w14:textId="77777777" w:rsidTr="00915128">
        <w:trPr>
          <w:trHeight w:val="828"/>
        </w:trPr>
        <w:tc>
          <w:tcPr>
            <w:tcW w:w="1885" w:type="dxa"/>
            <w:shd w:val="clear" w:color="auto" w:fill="B4C6E7" w:themeFill="accent1" w:themeFillTint="66"/>
            <w:noWrap/>
            <w:hideMark/>
          </w:tcPr>
          <w:p w14:paraId="1137B0BD" w14:textId="77777777" w:rsidR="00B10A7E" w:rsidRPr="009178D0" w:rsidRDefault="00B10A7E" w:rsidP="00B10A7E">
            <w:pPr>
              <w:rPr>
                <w:rFonts w:cs="Arial"/>
                <w:sz w:val="20"/>
                <w:szCs w:val="20"/>
              </w:rPr>
            </w:pPr>
            <w:r w:rsidRPr="009178D0">
              <w:rPr>
                <w:rFonts w:cs="Arial"/>
                <w:sz w:val="20"/>
                <w:szCs w:val="20"/>
              </w:rPr>
              <w:t>Levofloxacin</w:t>
            </w:r>
          </w:p>
        </w:tc>
        <w:tc>
          <w:tcPr>
            <w:tcW w:w="1890" w:type="dxa"/>
            <w:hideMark/>
          </w:tcPr>
          <w:p w14:paraId="2083FD7B" w14:textId="77777777" w:rsidR="00B10A7E" w:rsidRPr="009178D0" w:rsidRDefault="00B10A7E" w:rsidP="00B10A7E">
            <w:pPr>
              <w:rPr>
                <w:rFonts w:cs="Arial"/>
                <w:sz w:val="20"/>
                <w:szCs w:val="20"/>
              </w:rPr>
            </w:pPr>
            <w:r w:rsidRPr="009178D0">
              <w:rPr>
                <w:rFonts w:cs="Arial"/>
                <w:sz w:val="20"/>
                <w:szCs w:val="20"/>
              </w:rPr>
              <w:t xml:space="preserve">Levaquin, </w:t>
            </w:r>
            <w:proofErr w:type="spellStart"/>
            <w:r w:rsidRPr="009178D0">
              <w:rPr>
                <w:rFonts w:cs="Arial"/>
                <w:sz w:val="20"/>
                <w:szCs w:val="20"/>
              </w:rPr>
              <w:t>Quixin</w:t>
            </w:r>
            <w:proofErr w:type="spellEnd"/>
          </w:p>
        </w:tc>
        <w:tc>
          <w:tcPr>
            <w:tcW w:w="1621" w:type="dxa"/>
            <w:shd w:val="clear" w:color="auto" w:fill="B4C6E7" w:themeFill="accent1" w:themeFillTint="66"/>
            <w:noWrap/>
            <w:hideMark/>
          </w:tcPr>
          <w:p w14:paraId="02A021B8" w14:textId="77777777" w:rsidR="00B10A7E" w:rsidRPr="009178D0" w:rsidRDefault="00B10A7E" w:rsidP="00B10A7E">
            <w:pPr>
              <w:rPr>
                <w:rFonts w:cs="Arial"/>
                <w:sz w:val="20"/>
                <w:szCs w:val="20"/>
              </w:rPr>
            </w:pPr>
            <w:r w:rsidRPr="009178D0">
              <w:rPr>
                <w:rFonts w:cs="Arial"/>
                <w:sz w:val="20"/>
                <w:szCs w:val="20"/>
              </w:rPr>
              <w:t xml:space="preserve">Cefoxitin </w:t>
            </w:r>
          </w:p>
        </w:tc>
        <w:tc>
          <w:tcPr>
            <w:tcW w:w="1799" w:type="dxa"/>
            <w:hideMark/>
          </w:tcPr>
          <w:p w14:paraId="543A2EA3" w14:textId="77777777" w:rsidR="00B10A7E" w:rsidRPr="009178D0" w:rsidRDefault="00B10A7E" w:rsidP="00B10A7E">
            <w:pPr>
              <w:rPr>
                <w:rFonts w:cs="Arial"/>
                <w:sz w:val="20"/>
                <w:szCs w:val="20"/>
              </w:rPr>
            </w:pPr>
            <w:proofErr w:type="spellStart"/>
            <w:r w:rsidRPr="009178D0">
              <w:rPr>
                <w:rFonts w:cs="Arial"/>
                <w:sz w:val="20"/>
                <w:szCs w:val="20"/>
              </w:rPr>
              <w:t>Mefoxin</w:t>
            </w:r>
            <w:proofErr w:type="spellEnd"/>
          </w:p>
        </w:tc>
        <w:tc>
          <w:tcPr>
            <w:tcW w:w="1890" w:type="dxa"/>
            <w:shd w:val="clear" w:color="auto" w:fill="B4C6E7" w:themeFill="accent1" w:themeFillTint="66"/>
            <w:noWrap/>
          </w:tcPr>
          <w:p w14:paraId="571C1628" w14:textId="4CA0831A" w:rsidR="00B10A7E" w:rsidRPr="009178D0" w:rsidRDefault="00B10A7E" w:rsidP="00B10A7E">
            <w:pPr>
              <w:rPr>
                <w:rFonts w:cs="Arial"/>
                <w:sz w:val="20"/>
                <w:szCs w:val="20"/>
              </w:rPr>
            </w:pPr>
            <w:r w:rsidRPr="009178D0">
              <w:rPr>
                <w:rFonts w:cs="Arial"/>
                <w:sz w:val="20"/>
                <w:szCs w:val="20"/>
              </w:rPr>
              <w:t>Cephalexin</w:t>
            </w:r>
          </w:p>
        </w:tc>
        <w:tc>
          <w:tcPr>
            <w:tcW w:w="1890" w:type="dxa"/>
          </w:tcPr>
          <w:p w14:paraId="6B8ADF6F" w14:textId="44D25CF4" w:rsidR="00B10A7E" w:rsidRPr="009178D0" w:rsidRDefault="00B10A7E" w:rsidP="00B10A7E">
            <w:pPr>
              <w:rPr>
                <w:rFonts w:cs="Arial"/>
                <w:sz w:val="20"/>
                <w:szCs w:val="20"/>
              </w:rPr>
            </w:pPr>
            <w:r w:rsidRPr="009178D0">
              <w:rPr>
                <w:rFonts w:cs="Arial"/>
                <w:sz w:val="20"/>
                <w:szCs w:val="20"/>
              </w:rPr>
              <w:t xml:space="preserve">Cefalexin, Keflex, </w:t>
            </w:r>
            <w:proofErr w:type="spellStart"/>
            <w:r w:rsidRPr="009178D0">
              <w:rPr>
                <w:rFonts w:cs="Arial"/>
                <w:sz w:val="20"/>
                <w:szCs w:val="20"/>
              </w:rPr>
              <w:t>Keftal</w:t>
            </w:r>
            <w:proofErr w:type="spellEnd"/>
            <w:r w:rsidRPr="009178D0">
              <w:rPr>
                <w:rFonts w:cs="Arial"/>
                <w:sz w:val="20"/>
                <w:szCs w:val="20"/>
              </w:rPr>
              <w:t xml:space="preserve">, </w:t>
            </w:r>
            <w:proofErr w:type="spellStart"/>
            <w:r w:rsidRPr="009178D0">
              <w:rPr>
                <w:rFonts w:cs="Arial"/>
                <w:sz w:val="20"/>
                <w:szCs w:val="20"/>
              </w:rPr>
              <w:t>Cefanox</w:t>
            </w:r>
            <w:proofErr w:type="spellEnd"/>
            <w:r w:rsidRPr="009178D0">
              <w:rPr>
                <w:rFonts w:cs="Arial"/>
                <w:sz w:val="20"/>
                <w:szCs w:val="20"/>
              </w:rPr>
              <w:t xml:space="preserve">, </w:t>
            </w:r>
            <w:proofErr w:type="spellStart"/>
            <w:r w:rsidRPr="009178D0">
              <w:rPr>
                <w:rFonts w:cs="Arial"/>
                <w:sz w:val="20"/>
                <w:szCs w:val="20"/>
              </w:rPr>
              <w:t>Biocef</w:t>
            </w:r>
            <w:proofErr w:type="spellEnd"/>
            <w:r w:rsidRPr="009178D0">
              <w:rPr>
                <w:rFonts w:cs="Arial"/>
                <w:sz w:val="20"/>
                <w:szCs w:val="20"/>
              </w:rPr>
              <w:t xml:space="preserve">, </w:t>
            </w:r>
            <w:proofErr w:type="spellStart"/>
            <w:r w:rsidRPr="009178D0">
              <w:rPr>
                <w:rFonts w:cs="Arial"/>
                <w:sz w:val="20"/>
                <w:szCs w:val="20"/>
              </w:rPr>
              <w:t>Panixine</w:t>
            </w:r>
            <w:proofErr w:type="spellEnd"/>
            <w:r w:rsidRPr="009178D0">
              <w:rPr>
                <w:rFonts w:cs="Arial"/>
                <w:sz w:val="20"/>
                <w:szCs w:val="20"/>
              </w:rPr>
              <w:t xml:space="preserve">, </w:t>
            </w:r>
            <w:proofErr w:type="spellStart"/>
            <w:r w:rsidRPr="009178D0">
              <w:rPr>
                <w:rFonts w:cs="Arial"/>
                <w:sz w:val="20"/>
                <w:szCs w:val="20"/>
              </w:rPr>
              <w:t>Zartan</w:t>
            </w:r>
            <w:proofErr w:type="spellEnd"/>
          </w:p>
        </w:tc>
        <w:tc>
          <w:tcPr>
            <w:tcW w:w="1530" w:type="dxa"/>
            <w:shd w:val="clear" w:color="auto" w:fill="B4C6E7" w:themeFill="accent1" w:themeFillTint="66"/>
            <w:noWrap/>
            <w:hideMark/>
          </w:tcPr>
          <w:p w14:paraId="49AA9C89" w14:textId="77777777" w:rsidR="00B10A7E" w:rsidRPr="009178D0" w:rsidRDefault="00B10A7E" w:rsidP="00B10A7E">
            <w:pPr>
              <w:rPr>
                <w:rFonts w:cs="Arial"/>
                <w:sz w:val="20"/>
                <w:szCs w:val="20"/>
              </w:rPr>
            </w:pPr>
            <w:r w:rsidRPr="009178D0">
              <w:rPr>
                <w:rFonts w:cs="Arial"/>
                <w:sz w:val="20"/>
                <w:szCs w:val="20"/>
              </w:rPr>
              <w:t>Minocycline</w:t>
            </w:r>
          </w:p>
        </w:tc>
        <w:tc>
          <w:tcPr>
            <w:tcW w:w="1620" w:type="dxa"/>
            <w:hideMark/>
          </w:tcPr>
          <w:p w14:paraId="31440D4F" w14:textId="77777777" w:rsidR="00B10A7E" w:rsidRPr="009178D0" w:rsidRDefault="00B10A7E" w:rsidP="00B10A7E">
            <w:pPr>
              <w:rPr>
                <w:rFonts w:cs="Arial"/>
                <w:sz w:val="20"/>
                <w:szCs w:val="20"/>
              </w:rPr>
            </w:pPr>
            <w:r w:rsidRPr="009178D0">
              <w:rPr>
                <w:rFonts w:cs="Arial"/>
                <w:sz w:val="20"/>
                <w:szCs w:val="20"/>
              </w:rPr>
              <w:t xml:space="preserve">Minocycline hydrochloride, </w:t>
            </w:r>
            <w:proofErr w:type="spellStart"/>
            <w:r w:rsidRPr="009178D0">
              <w:rPr>
                <w:rFonts w:cs="Arial"/>
                <w:sz w:val="20"/>
                <w:szCs w:val="20"/>
              </w:rPr>
              <w:t>Minocin</w:t>
            </w:r>
            <w:proofErr w:type="spellEnd"/>
            <w:r w:rsidRPr="009178D0">
              <w:rPr>
                <w:rFonts w:cs="Arial"/>
                <w:sz w:val="20"/>
                <w:szCs w:val="20"/>
              </w:rPr>
              <w:t xml:space="preserve">, </w:t>
            </w:r>
            <w:proofErr w:type="spellStart"/>
            <w:r w:rsidRPr="009178D0">
              <w:rPr>
                <w:rFonts w:cs="Arial"/>
                <w:sz w:val="20"/>
                <w:szCs w:val="20"/>
              </w:rPr>
              <w:t>Dynacin</w:t>
            </w:r>
            <w:proofErr w:type="spellEnd"/>
            <w:r w:rsidRPr="009178D0">
              <w:rPr>
                <w:rFonts w:cs="Arial"/>
                <w:sz w:val="20"/>
                <w:szCs w:val="20"/>
              </w:rPr>
              <w:t xml:space="preserve">, </w:t>
            </w:r>
            <w:proofErr w:type="spellStart"/>
            <w:r w:rsidRPr="009178D0">
              <w:rPr>
                <w:rFonts w:cs="Arial"/>
                <w:sz w:val="20"/>
                <w:szCs w:val="20"/>
              </w:rPr>
              <w:t>Myrac</w:t>
            </w:r>
            <w:proofErr w:type="spellEnd"/>
            <w:r w:rsidRPr="009178D0">
              <w:rPr>
                <w:rFonts w:cs="Arial"/>
                <w:sz w:val="20"/>
                <w:szCs w:val="20"/>
              </w:rPr>
              <w:t xml:space="preserve">, </w:t>
            </w:r>
            <w:proofErr w:type="spellStart"/>
            <w:r w:rsidRPr="009178D0">
              <w:rPr>
                <w:rFonts w:cs="Arial"/>
                <w:sz w:val="20"/>
                <w:szCs w:val="20"/>
              </w:rPr>
              <w:t>Solodayn</w:t>
            </w:r>
            <w:proofErr w:type="spellEnd"/>
            <w:r w:rsidRPr="009178D0">
              <w:rPr>
                <w:rFonts w:cs="Arial"/>
                <w:sz w:val="20"/>
                <w:szCs w:val="20"/>
              </w:rPr>
              <w:t xml:space="preserve">, </w:t>
            </w:r>
            <w:proofErr w:type="spellStart"/>
            <w:r w:rsidRPr="009178D0">
              <w:rPr>
                <w:rFonts w:cs="Arial"/>
                <w:sz w:val="20"/>
                <w:szCs w:val="20"/>
              </w:rPr>
              <w:t>Vectrin</w:t>
            </w:r>
            <w:proofErr w:type="spellEnd"/>
          </w:p>
        </w:tc>
      </w:tr>
      <w:tr w:rsidR="00B10A7E" w:rsidRPr="00F606BC" w14:paraId="6EB0D2B3" w14:textId="77777777" w:rsidTr="00915128">
        <w:trPr>
          <w:trHeight w:val="552"/>
        </w:trPr>
        <w:tc>
          <w:tcPr>
            <w:tcW w:w="1885" w:type="dxa"/>
            <w:shd w:val="clear" w:color="auto" w:fill="B4C6E7" w:themeFill="accent1" w:themeFillTint="66"/>
            <w:noWrap/>
            <w:hideMark/>
          </w:tcPr>
          <w:p w14:paraId="3C99C0CC" w14:textId="77777777" w:rsidR="00B10A7E" w:rsidRPr="009178D0" w:rsidRDefault="00B10A7E" w:rsidP="00B10A7E">
            <w:pPr>
              <w:rPr>
                <w:rFonts w:cs="Arial"/>
                <w:sz w:val="20"/>
                <w:szCs w:val="20"/>
              </w:rPr>
            </w:pPr>
            <w:r w:rsidRPr="009178D0">
              <w:rPr>
                <w:rFonts w:cs="Arial"/>
                <w:sz w:val="20"/>
                <w:szCs w:val="20"/>
              </w:rPr>
              <w:t xml:space="preserve">Meropenem </w:t>
            </w:r>
          </w:p>
        </w:tc>
        <w:tc>
          <w:tcPr>
            <w:tcW w:w="1890" w:type="dxa"/>
            <w:hideMark/>
          </w:tcPr>
          <w:p w14:paraId="71861ED5" w14:textId="77777777" w:rsidR="00B10A7E" w:rsidRPr="009178D0" w:rsidRDefault="00B10A7E" w:rsidP="00B10A7E">
            <w:pPr>
              <w:rPr>
                <w:rFonts w:cs="Arial"/>
                <w:sz w:val="20"/>
                <w:szCs w:val="20"/>
              </w:rPr>
            </w:pPr>
            <w:proofErr w:type="spellStart"/>
            <w:r w:rsidRPr="009178D0">
              <w:rPr>
                <w:rFonts w:cs="Arial"/>
                <w:sz w:val="20"/>
                <w:szCs w:val="20"/>
              </w:rPr>
              <w:t>Merrem</w:t>
            </w:r>
            <w:proofErr w:type="spellEnd"/>
          </w:p>
        </w:tc>
        <w:tc>
          <w:tcPr>
            <w:tcW w:w="1621" w:type="dxa"/>
            <w:shd w:val="clear" w:color="auto" w:fill="B4C6E7" w:themeFill="accent1" w:themeFillTint="66"/>
            <w:noWrap/>
            <w:hideMark/>
          </w:tcPr>
          <w:p w14:paraId="4159D195" w14:textId="77777777" w:rsidR="00B10A7E" w:rsidRPr="009178D0" w:rsidRDefault="00B10A7E" w:rsidP="00B10A7E">
            <w:pPr>
              <w:rPr>
                <w:rFonts w:cs="Arial"/>
                <w:sz w:val="20"/>
                <w:szCs w:val="20"/>
              </w:rPr>
            </w:pPr>
            <w:proofErr w:type="spellStart"/>
            <w:r w:rsidRPr="009178D0">
              <w:rPr>
                <w:rFonts w:cs="Arial"/>
                <w:sz w:val="20"/>
                <w:szCs w:val="20"/>
              </w:rPr>
              <w:t>Ceftaroline</w:t>
            </w:r>
            <w:proofErr w:type="spellEnd"/>
          </w:p>
        </w:tc>
        <w:tc>
          <w:tcPr>
            <w:tcW w:w="1799" w:type="dxa"/>
            <w:hideMark/>
          </w:tcPr>
          <w:p w14:paraId="2DCA12E1" w14:textId="77777777" w:rsidR="00B10A7E" w:rsidRPr="009178D0" w:rsidRDefault="00B10A7E" w:rsidP="00B10A7E">
            <w:pPr>
              <w:rPr>
                <w:rFonts w:cs="Arial"/>
                <w:sz w:val="20"/>
                <w:szCs w:val="20"/>
              </w:rPr>
            </w:pPr>
            <w:r w:rsidRPr="009178D0">
              <w:rPr>
                <w:rFonts w:cs="Arial"/>
                <w:sz w:val="20"/>
                <w:szCs w:val="20"/>
              </w:rPr>
              <w:t>n/a</w:t>
            </w:r>
          </w:p>
        </w:tc>
        <w:tc>
          <w:tcPr>
            <w:tcW w:w="1890" w:type="dxa"/>
            <w:shd w:val="clear" w:color="auto" w:fill="B4C6E7" w:themeFill="accent1" w:themeFillTint="66"/>
            <w:noWrap/>
          </w:tcPr>
          <w:p w14:paraId="3C42FBBC" w14:textId="5544D4AE" w:rsidR="00B10A7E" w:rsidRPr="009178D0" w:rsidRDefault="00B10A7E" w:rsidP="00B10A7E">
            <w:pPr>
              <w:rPr>
                <w:rFonts w:cs="Arial"/>
                <w:sz w:val="20"/>
                <w:szCs w:val="20"/>
              </w:rPr>
            </w:pPr>
            <w:r w:rsidRPr="009178D0">
              <w:rPr>
                <w:rFonts w:cs="Arial"/>
                <w:sz w:val="20"/>
                <w:szCs w:val="20"/>
              </w:rPr>
              <w:t xml:space="preserve">Ciprofloxacin </w:t>
            </w:r>
          </w:p>
        </w:tc>
        <w:tc>
          <w:tcPr>
            <w:tcW w:w="1890" w:type="dxa"/>
          </w:tcPr>
          <w:p w14:paraId="70C02566" w14:textId="4CA00175" w:rsidR="00B10A7E" w:rsidRPr="009178D0" w:rsidRDefault="00B10A7E" w:rsidP="00B10A7E">
            <w:pPr>
              <w:rPr>
                <w:rFonts w:cs="Arial"/>
                <w:sz w:val="20"/>
                <w:szCs w:val="20"/>
              </w:rPr>
            </w:pPr>
            <w:r w:rsidRPr="009178D0">
              <w:rPr>
                <w:rFonts w:cs="Arial"/>
                <w:sz w:val="20"/>
                <w:szCs w:val="20"/>
              </w:rPr>
              <w:t xml:space="preserve">Cipro, </w:t>
            </w:r>
            <w:proofErr w:type="spellStart"/>
            <w:r w:rsidRPr="009178D0">
              <w:rPr>
                <w:rFonts w:cs="Arial"/>
                <w:sz w:val="20"/>
                <w:szCs w:val="20"/>
              </w:rPr>
              <w:t>Ciproxin</w:t>
            </w:r>
            <w:proofErr w:type="spellEnd"/>
            <w:r w:rsidRPr="009178D0">
              <w:rPr>
                <w:rFonts w:cs="Arial"/>
                <w:sz w:val="20"/>
                <w:szCs w:val="20"/>
              </w:rPr>
              <w:t xml:space="preserve">, </w:t>
            </w:r>
            <w:proofErr w:type="spellStart"/>
            <w:r w:rsidRPr="009178D0">
              <w:rPr>
                <w:rFonts w:cs="Arial"/>
                <w:sz w:val="20"/>
                <w:szCs w:val="20"/>
              </w:rPr>
              <w:t>Ciprobay</w:t>
            </w:r>
            <w:proofErr w:type="spellEnd"/>
          </w:p>
        </w:tc>
        <w:tc>
          <w:tcPr>
            <w:tcW w:w="1530" w:type="dxa"/>
            <w:noWrap/>
            <w:hideMark/>
          </w:tcPr>
          <w:p w14:paraId="1667AC8C" w14:textId="77777777" w:rsidR="00B10A7E" w:rsidRPr="009178D0" w:rsidRDefault="00B10A7E" w:rsidP="00B10A7E">
            <w:pPr>
              <w:rPr>
                <w:rFonts w:cs="Arial"/>
                <w:sz w:val="20"/>
                <w:szCs w:val="20"/>
              </w:rPr>
            </w:pPr>
          </w:p>
        </w:tc>
        <w:tc>
          <w:tcPr>
            <w:tcW w:w="1620" w:type="dxa"/>
            <w:noWrap/>
            <w:hideMark/>
          </w:tcPr>
          <w:p w14:paraId="22533F51" w14:textId="77777777" w:rsidR="00B10A7E" w:rsidRPr="009178D0" w:rsidRDefault="00B10A7E" w:rsidP="00B10A7E">
            <w:pPr>
              <w:rPr>
                <w:rFonts w:cs="Arial"/>
                <w:sz w:val="20"/>
                <w:szCs w:val="20"/>
              </w:rPr>
            </w:pPr>
          </w:p>
        </w:tc>
      </w:tr>
      <w:tr w:rsidR="00B10A7E" w:rsidRPr="00F606BC" w14:paraId="2066E750" w14:textId="77777777" w:rsidTr="00915128">
        <w:trPr>
          <w:trHeight w:val="288"/>
        </w:trPr>
        <w:tc>
          <w:tcPr>
            <w:tcW w:w="1885" w:type="dxa"/>
            <w:shd w:val="clear" w:color="auto" w:fill="B4C6E7" w:themeFill="accent1" w:themeFillTint="66"/>
            <w:noWrap/>
            <w:hideMark/>
          </w:tcPr>
          <w:p w14:paraId="109019C9" w14:textId="77777777" w:rsidR="00B10A7E" w:rsidRPr="009178D0" w:rsidRDefault="00B10A7E" w:rsidP="00B10A7E">
            <w:pPr>
              <w:rPr>
                <w:rFonts w:cs="Arial"/>
                <w:sz w:val="20"/>
                <w:szCs w:val="20"/>
              </w:rPr>
            </w:pPr>
            <w:r w:rsidRPr="009178D0">
              <w:rPr>
                <w:rFonts w:cs="Arial"/>
                <w:sz w:val="20"/>
                <w:szCs w:val="20"/>
              </w:rPr>
              <w:t>Metronidazole</w:t>
            </w:r>
          </w:p>
        </w:tc>
        <w:tc>
          <w:tcPr>
            <w:tcW w:w="1890" w:type="dxa"/>
            <w:hideMark/>
          </w:tcPr>
          <w:p w14:paraId="0339F822" w14:textId="77777777" w:rsidR="00B10A7E" w:rsidRPr="009178D0" w:rsidRDefault="00B10A7E" w:rsidP="00B10A7E">
            <w:pPr>
              <w:rPr>
                <w:rFonts w:cs="Arial"/>
                <w:sz w:val="20"/>
                <w:szCs w:val="20"/>
              </w:rPr>
            </w:pPr>
            <w:r w:rsidRPr="009178D0">
              <w:rPr>
                <w:rFonts w:cs="Arial"/>
                <w:sz w:val="20"/>
                <w:szCs w:val="20"/>
              </w:rPr>
              <w:t>Flagyl</w:t>
            </w:r>
          </w:p>
        </w:tc>
        <w:tc>
          <w:tcPr>
            <w:tcW w:w="1621" w:type="dxa"/>
            <w:shd w:val="clear" w:color="auto" w:fill="B4C6E7" w:themeFill="accent1" w:themeFillTint="66"/>
            <w:noWrap/>
            <w:hideMark/>
          </w:tcPr>
          <w:p w14:paraId="61F0E819" w14:textId="77777777" w:rsidR="00B10A7E" w:rsidRPr="009178D0" w:rsidRDefault="00B10A7E" w:rsidP="00B10A7E">
            <w:pPr>
              <w:rPr>
                <w:rFonts w:cs="Arial"/>
                <w:sz w:val="20"/>
                <w:szCs w:val="20"/>
              </w:rPr>
            </w:pPr>
            <w:r w:rsidRPr="009178D0">
              <w:rPr>
                <w:rFonts w:cs="Arial"/>
                <w:sz w:val="20"/>
                <w:szCs w:val="20"/>
              </w:rPr>
              <w:t>Ceftazidime</w:t>
            </w:r>
          </w:p>
        </w:tc>
        <w:tc>
          <w:tcPr>
            <w:tcW w:w="1799" w:type="dxa"/>
            <w:hideMark/>
          </w:tcPr>
          <w:p w14:paraId="7204E651" w14:textId="77777777" w:rsidR="00B10A7E" w:rsidRPr="009178D0" w:rsidRDefault="00B10A7E" w:rsidP="00B10A7E">
            <w:pPr>
              <w:rPr>
                <w:rFonts w:cs="Arial"/>
                <w:sz w:val="20"/>
                <w:szCs w:val="20"/>
              </w:rPr>
            </w:pPr>
            <w:proofErr w:type="spellStart"/>
            <w:r w:rsidRPr="009178D0">
              <w:rPr>
                <w:rFonts w:cs="Arial"/>
                <w:sz w:val="20"/>
                <w:szCs w:val="20"/>
              </w:rPr>
              <w:t>Ceptaz</w:t>
            </w:r>
            <w:proofErr w:type="spellEnd"/>
            <w:r w:rsidRPr="009178D0">
              <w:rPr>
                <w:rFonts w:cs="Arial"/>
                <w:sz w:val="20"/>
                <w:szCs w:val="20"/>
              </w:rPr>
              <w:t xml:space="preserve">, </w:t>
            </w:r>
            <w:proofErr w:type="spellStart"/>
            <w:r w:rsidRPr="009178D0">
              <w:rPr>
                <w:rFonts w:cs="Arial"/>
                <w:sz w:val="20"/>
                <w:szCs w:val="20"/>
              </w:rPr>
              <w:t>Fortaz</w:t>
            </w:r>
            <w:proofErr w:type="spellEnd"/>
            <w:r w:rsidRPr="009178D0">
              <w:rPr>
                <w:rFonts w:cs="Arial"/>
                <w:sz w:val="20"/>
                <w:szCs w:val="20"/>
              </w:rPr>
              <w:t xml:space="preserve">, </w:t>
            </w:r>
            <w:proofErr w:type="spellStart"/>
            <w:r w:rsidRPr="009178D0">
              <w:rPr>
                <w:rFonts w:cs="Arial"/>
                <w:sz w:val="20"/>
                <w:szCs w:val="20"/>
              </w:rPr>
              <w:t>Tazicef</w:t>
            </w:r>
            <w:proofErr w:type="spellEnd"/>
          </w:p>
        </w:tc>
        <w:tc>
          <w:tcPr>
            <w:tcW w:w="1890" w:type="dxa"/>
            <w:shd w:val="clear" w:color="auto" w:fill="B4C6E7" w:themeFill="accent1" w:themeFillTint="66"/>
            <w:noWrap/>
          </w:tcPr>
          <w:p w14:paraId="41049D19" w14:textId="4F429925" w:rsidR="00B10A7E" w:rsidRPr="009178D0" w:rsidRDefault="00B10A7E" w:rsidP="00B10A7E">
            <w:pPr>
              <w:rPr>
                <w:rFonts w:cs="Arial"/>
                <w:sz w:val="20"/>
                <w:szCs w:val="20"/>
              </w:rPr>
            </w:pPr>
            <w:r w:rsidRPr="009178D0">
              <w:rPr>
                <w:rFonts w:cs="Arial"/>
                <w:sz w:val="20"/>
                <w:szCs w:val="20"/>
              </w:rPr>
              <w:t>Doxycycline</w:t>
            </w:r>
          </w:p>
        </w:tc>
        <w:tc>
          <w:tcPr>
            <w:tcW w:w="1890" w:type="dxa"/>
          </w:tcPr>
          <w:p w14:paraId="690BA2AB" w14:textId="48FA09CA" w:rsidR="00B10A7E" w:rsidRPr="009178D0" w:rsidRDefault="00B10A7E" w:rsidP="00B10A7E">
            <w:pPr>
              <w:rPr>
                <w:rFonts w:cs="Arial"/>
                <w:sz w:val="20"/>
                <w:szCs w:val="20"/>
              </w:rPr>
            </w:pPr>
            <w:r w:rsidRPr="009178D0">
              <w:rPr>
                <w:rFonts w:cs="Arial"/>
                <w:sz w:val="20"/>
                <w:szCs w:val="20"/>
              </w:rPr>
              <w:t xml:space="preserve">Doxycycline </w:t>
            </w:r>
            <w:proofErr w:type="spellStart"/>
            <w:r w:rsidRPr="009178D0">
              <w:rPr>
                <w:rFonts w:cs="Arial"/>
                <w:sz w:val="20"/>
                <w:szCs w:val="20"/>
              </w:rPr>
              <w:t>hyclate</w:t>
            </w:r>
            <w:proofErr w:type="spellEnd"/>
            <w:r w:rsidRPr="009178D0">
              <w:rPr>
                <w:rFonts w:cs="Arial"/>
                <w:sz w:val="20"/>
                <w:szCs w:val="20"/>
              </w:rPr>
              <w:t xml:space="preserve">, Doxy, </w:t>
            </w:r>
            <w:proofErr w:type="spellStart"/>
            <w:r w:rsidRPr="009178D0">
              <w:rPr>
                <w:rFonts w:cs="Arial"/>
                <w:sz w:val="20"/>
                <w:szCs w:val="20"/>
              </w:rPr>
              <w:t>Vibra</w:t>
            </w:r>
            <w:proofErr w:type="spellEnd"/>
            <w:r w:rsidRPr="009178D0">
              <w:rPr>
                <w:rFonts w:cs="Arial"/>
                <w:sz w:val="20"/>
                <w:szCs w:val="20"/>
              </w:rPr>
              <w:t xml:space="preserve">, </w:t>
            </w:r>
            <w:proofErr w:type="spellStart"/>
            <w:r w:rsidRPr="009178D0">
              <w:rPr>
                <w:rFonts w:cs="Arial"/>
                <w:sz w:val="20"/>
                <w:szCs w:val="20"/>
              </w:rPr>
              <w:t>Vibramycin</w:t>
            </w:r>
            <w:proofErr w:type="spellEnd"/>
          </w:p>
        </w:tc>
        <w:tc>
          <w:tcPr>
            <w:tcW w:w="1530" w:type="dxa"/>
            <w:noWrap/>
            <w:hideMark/>
          </w:tcPr>
          <w:p w14:paraId="7E6C6B1C" w14:textId="77777777" w:rsidR="00B10A7E" w:rsidRPr="009178D0" w:rsidRDefault="00B10A7E" w:rsidP="00B10A7E">
            <w:pPr>
              <w:rPr>
                <w:rFonts w:cs="Arial"/>
                <w:sz w:val="20"/>
                <w:szCs w:val="20"/>
              </w:rPr>
            </w:pPr>
          </w:p>
        </w:tc>
        <w:tc>
          <w:tcPr>
            <w:tcW w:w="1620" w:type="dxa"/>
            <w:noWrap/>
            <w:hideMark/>
          </w:tcPr>
          <w:p w14:paraId="20560E14" w14:textId="77777777" w:rsidR="00B10A7E" w:rsidRPr="009178D0" w:rsidRDefault="00B10A7E" w:rsidP="00B10A7E">
            <w:pPr>
              <w:rPr>
                <w:rFonts w:cs="Arial"/>
                <w:sz w:val="20"/>
                <w:szCs w:val="20"/>
              </w:rPr>
            </w:pPr>
          </w:p>
        </w:tc>
      </w:tr>
      <w:tr w:rsidR="00B10A7E" w:rsidRPr="00F606BC" w14:paraId="2A770B6B" w14:textId="77777777" w:rsidTr="00915128">
        <w:trPr>
          <w:trHeight w:val="288"/>
        </w:trPr>
        <w:tc>
          <w:tcPr>
            <w:tcW w:w="1885" w:type="dxa"/>
            <w:shd w:val="clear" w:color="auto" w:fill="B4C6E7" w:themeFill="accent1" w:themeFillTint="66"/>
            <w:noWrap/>
            <w:hideMark/>
          </w:tcPr>
          <w:p w14:paraId="26C4BDEF" w14:textId="77777777" w:rsidR="00B10A7E" w:rsidRPr="009178D0" w:rsidRDefault="00B10A7E" w:rsidP="00B10A7E">
            <w:pPr>
              <w:rPr>
                <w:rFonts w:cs="Arial"/>
                <w:sz w:val="20"/>
                <w:szCs w:val="20"/>
              </w:rPr>
            </w:pPr>
            <w:r w:rsidRPr="009178D0">
              <w:rPr>
                <w:rFonts w:cs="Arial"/>
                <w:sz w:val="20"/>
                <w:szCs w:val="20"/>
              </w:rPr>
              <w:lastRenderedPageBreak/>
              <w:t>Piperacillin-tazobactam</w:t>
            </w:r>
          </w:p>
        </w:tc>
        <w:tc>
          <w:tcPr>
            <w:tcW w:w="1890" w:type="dxa"/>
            <w:hideMark/>
          </w:tcPr>
          <w:p w14:paraId="64B73371" w14:textId="77777777" w:rsidR="00B10A7E" w:rsidRPr="009178D0" w:rsidRDefault="00B10A7E" w:rsidP="00B10A7E">
            <w:pPr>
              <w:rPr>
                <w:rFonts w:cs="Arial"/>
                <w:sz w:val="20"/>
                <w:szCs w:val="20"/>
              </w:rPr>
            </w:pPr>
            <w:r w:rsidRPr="009178D0">
              <w:rPr>
                <w:rFonts w:cs="Arial"/>
                <w:sz w:val="20"/>
                <w:szCs w:val="20"/>
              </w:rPr>
              <w:t>Zosyn</w:t>
            </w:r>
          </w:p>
        </w:tc>
        <w:tc>
          <w:tcPr>
            <w:tcW w:w="1621" w:type="dxa"/>
            <w:shd w:val="clear" w:color="auto" w:fill="B4C6E7" w:themeFill="accent1" w:themeFillTint="66"/>
            <w:noWrap/>
            <w:hideMark/>
          </w:tcPr>
          <w:p w14:paraId="633D6A0A" w14:textId="77777777" w:rsidR="00B10A7E" w:rsidRPr="009178D0" w:rsidRDefault="00B10A7E" w:rsidP="00B10A7E">
            <w:pPr>
              <w:rPr>
                <w:rFonts w:cs="Arial"/>
                <w:sz w:val="20"/>
                <w:szCs w:val="20"/>
              </w:rPr>
            </w:pPr>
            <w:r w:rsidRPr="009178D0">
              <w:rPr>
                <w:rFonts w:cs="Arial"/>
                <w:sz w:val="20"/>
                <w:szCs w:val="20"/>
              </w:rPr>
              <w:t>Ceftazidime-</w:t>
            </w:r>
            <w:proofErr w:type="spellStart"/>
            <w:r w:rsidRPr="009178D0">
              <w:rPr>
                <w:rFonts w:cs="Arial"/>
                <w:sz w:val="20"/>
                <w:szCs w:val="20"/>
              </w:rPr>
              <w:t>avibactram</w:t>
            </w:r>
            <w:proofErr w:type="spellEnd"/>
          </w:p>
        </w:tc>
        <w:tc>
          <w:tcPr>
            <w:tcW w:w="1799" w:type="dxa"/>
            <w:hideMark/>
          </w:tcPr>
          <w:p w14:paraId="4619E25D" w14:textId="77777777" w:rsidR="00B10A7E" w:rsidRPr="009178D0" w:rsidRDefault="00B10A7E" w:rsidP="00B10A7E">
            <w:pPr>
              <w:rPr>
                <w:rFonts w:cs="Arial"/>
                <w:sz w:val="20"/>
                <w:szCs w:val="20"/>
              </w:rPr>
            </w:pPr>
            <w:proofErr w:type="spellStart"/>
            <w:r w:rsidRPr="009178D0">
              <w:rPr>
                <w:rFonts w:cs="Arial"/>
                <w:sz w:val="20"/>
                <w:szCs w:val="20"/>
              </w:rPr>
              <w:t>Avycaz</w:t>
            </w:r>
            <w:proofErr w:type="spellEnd"/>
          </w:p>
        </w:tc>
        <w:tc>
          <w:tcPr>
            <w:tcW w:w="1890" w:type="dxa"/>
            <w:shd w:val="clear" w:color="auto" w:fill="B4C6E7" w:themeFill="accent1" w:themeFillTint="66"/>
            <w:noWrap/>
          </w:tcPr>
          <w:p w14:paraId="6A0DF6BB" w14:textId="5B6CFFE6" w:rsidR="00B10A7E" w:rsidRPr="009178D0" w:rsidRDefault="00B10A7E" w:rsidP="00B10A7E">
            <w:pPr>
              <w:rPr>
                <w:rFonts w:cs="Arial"/>
                <w:sz w:val="20"/>
                <w:szCs w:val="20"/>
              </w:rPr>
            </w:pPr>
            <w:r w:rsidRPr="009178D0">
              <w:rPr>
                <w:rFonts w:cs="Arial"/>
                <w:sz w:val="20"/>
                <w:szCs w:val="20"/>
              </w:rPr>
              <w:t>Fosfomycin</w:t>
            </w:r>
          </w:p>
        </w:tc>
        <w:tc>
          <w:tcPr>
            <w:tcW w:w="1890" w:type="dxa"/>
          </w:tcPr>
          <w:p w14:paraId="34BF41D2" w14:textId="7FA1F8F6" w:rsidR="00B10A7E" w:rsidRPr="009178D0" w:rsidRDefault="00B10A7E" w:rsidP="00B10A7E">
            <w:pPr>
              <w:rPr>
                <w:rFonts w:cs="Arial"/>
                <w:sz w:val="20"/>
                <w:szCs w:val="20"/>
              </w:rPr>
            </w:pPr>
            <w:proofErr w:type="spellStart"/>
            <w:r w:rsidRPr="009178D0">
              <w:rPr>
                <w:rFonts w:cs="Arial"/>
                <w:sz w:val="20"/>
                <w:szCs w:val="20"/>
              </w:rPr>
              <w:t>Monurol</w:t>
            </w:r>
            <w:proofErr w:type="spellEnd"/>
          </w:p>
        </w:tc>
        <w:tc>
          <w:tcPr>
            <w:tcW w:w="1530" w:type="dxa"/>
            <w:noWrap/>
            <w:hideMark/>
          </w:tcPr>
          <w:p w14:paraId="284CDF9F" w14:textId="77777777" w:rsidR="00B10A7E" w:rsidRPr="009178D0" w:rsidRDefault="00B10A7E" w:rsidP="00B10A7E">
            <w:pPr>
              <w:rPr>
                <w:rFonts w:cs="Arial"/>
                <w:sz w:val="20"/>
                <w:szCs w:val="20"/>
              </w:rPr>
            </w:pPr>
          </w:p>
        </w:tc>
        <w:tc>
          <w:tcPr>
            <w:tcW w:w="1620" w:type="dxa"/>
            <w:noWrap/>
            <w:hideMark/>
          </w:tcPr>
          <w:p w14:paraId="282B916F" w14:textId="77777777" w:rsidR="00B10A7E" w:rsidRPr="009178D0" w:rsidRDefault="00B10A7E" w:rsidP="00B10A7E">
            <w:pPr>
              <w:rPr>
                <w:rFonts w:cs="Arial"/>
                <w:sz w:val="20"/>
                <w:szCs w:val="20"/>
              </w:rPr>
            </w:pPr>
          </w:p>
        </w:tc>
      </w:tr>
      <w:tr w:rsidR="00B10A7E" w:rsidRPr="00F606BC" w14:paraId="0D304574" w14:textId="77777777" w:rsidTr="00915128">
        <w:trPr>
          <w:trHeight w:val="1104"/>
        </w:trPr>
        <w:tc>
          <w:tcPr>
            <w:tcW w:w="1885" w:type="dxa"/>
            <w:shd w:val="clear" w:color="auto" w:fill="B4C6E7" w:themeFill="accent1" w:themeFillTint="66"/>
            <w:noWrap/>
            <w:hideMark/>
          </w:tcPr>
          <w:p w14:paraId="33FDD546" w14:textId="77777777" w:rsidR="001F4CBE" w:rsidRPr="009178D0" w:rsidRDefault="001F4CBE" w:rsidP="001F4CBE">
            <w:pPr>
              <w:rPr>
                <w:rFonts w:cs="Arial"/>
                <w:sz w:val="20"/>
                <w:szCs w:val="20"/>
              </w:rPr>
            </w:pPr>
            <w:r w:rsidRPr="009178D0">
              <w:rPr>
                <w:rFonts w:cs="Arial"/>
                <w:sz w:val="20"/>
                <w:szCs w:val="20"/>
              </w:rPr>
              <w:t>Trimethoprim-Sulfamethoxazole</w:t>
            </w:r>
          </w:p>
        </w:tc>
        <w:tc>
          <w:tcPr>
            <w:tcW w:w="1890" w:type="dxa"/>
            <w:hideMark/>
          </w:tcPr>
          <w:p w14:paraId="2BEBAA42" w14:textId="77777777" w:rsidR="001F4CBE" w:rsidRPr="009178D0" w:rsidRDefault="001F4CBE" w:rsidP="001F4CBE">
            <w:pPr>
              <w:rPr>
                <w:rFonts w:cs="Arial"/>
                <w:sz w:val="20"/>
                <w:szCs w:val="20"/>
              </w:rPr>
            </w:pPr>
            <w:r w:rsidRPr="009178D0">
              <w:rPr>
                <w:rFonts w:cs="Arial"/>
                <w:sz w:val="20"/>
                <w:szCs w:val="20"/>
              </w:rPr>
              <w:t>Co-</w:t>
            </w:r>
            <w:proofErr w:type="spellStart"/>
            <w:r w:rsidRPr="009178D0">
              <w:rPr>
                <w:rFonts w:cs="Arial"/>
                <w:sz w:val="20"/>
                <w:szCs w:val="20"/>
              </w:rPr>
              <w:t>Trimaxazole</w:t>
            </w:r>
            <w:proofErr w:type="spellEnd"/>
            <w:r w:rsidRPr="009178D0">
              <w:rPr>
                <w:rFonts w:cs="Arial"/>
                <w:sz w:val="20"/>
                <w:szCs w:val="20"/>
              </w:rPr>
              <w:t xml:space="preserve">, Sulfamethoxazole, </w:t>
            </w:r>
            <w:proofErr w:type="spellStart"/>
            <w:r w:rsidRPr="009178D0">
              <w:rPr>
                <w:rFonts w:cs="Arial"/>
                <w:sz w:val="20"/>
                <w:szCs w:val="20"/>
              </w:rPr>
              <w:t>Sulfisoxazole</w:t>
            </w:r>
            <w:proofErr w:type="spellEnd"/>
            <w:r w:rsidRPr="009178D0">
              <w:rPr>
                <w:rFonts w:cs="Arial"/>
                <w:sz w:val="20"/>
                <w:szCs w:val="20"/>
              </w:rPr>
              <w:t>, Trimethoprim, Trimethoprim-Sulfamethoxazole, TMP-SMX</w:t>
            </w:r>
          </w:p>
        </w:tc>
        <w:tc>
          <w:tcPr>
            <w:tcW w:w="1621" w:type="dxa"/>
            <w:shd w:val="clear" w:color="auto" w:fill="B4C6E7" w:themeFill="accent1" w:themeFillTint="66"/>
            <w:noWrap/>
            <w:hideMark/>
          </w:tcPr>
          <w:p w14:paraId="0AEF78ED" w14:textId="499BDFE1" w:rsidR="001F4CBE" w:rsidRPr="009178D0" w:rsidRDefault="001F4CBE" w:rsidP="001F4CBE">
            <w:pPr>
              <w:rPr>
                <w:rFonts w:cs="Arial"/>
                <w:sz w:val="20"/>
                <w:szCs w:val="20"/>
              </w:rPr>
            </w:pPr>
            <w:proofErr w:type="spellStart"/>
            <w:r w:rsidRPr="009178D0">
              <w:rPr>
                <w:rFonts w:cs="Arial"/>
                <w:sz w:val="20"/>
                <w:szCs w:val="20"/>
              </w:rPr>
              <w:t>Ceftolozane</w:t>
            </w:r>
            <w:proofErr w:type="spellEnd"/>
            <w:r w:rsidRPr="009178D0">
              <w:rPr>
                <w:rFonts w:cs="Arial"/>
                <w:sz w:val="20"/>
                <w:szCs w:val="20"/>
              </w:rPr>
              <w:t>/</w:t>
            </w:r>
            <w:r w:rsidR="00B10A7E">
              <w:rPr>
                <w:rFonts w:cs="Arial"/>
                <w:sz w:val="20"/>
                <w:szCs w:val="20"/>
              </w:rPr>
              <w:t xml:space="preserve"> </w:t>
            </w:r>
            <w:r w:rsidRPr="009178D0">
              <w:rPr>
                <w:rFonts w:cs="Arial"/>
                <w:sz w:val="20"/>
                <w:szCs w:val="20"/>
              </w:rPr>
              <w:t>Tazobactam</w:t>
            </w:r>
          </w:p>
        </w:tc>
        <w:tc>
          <w:tcPr>
            <w:tcW w:w="1799" w:type="dxa"/>
            <w:hideMark/>
          </w:tcPr>
          <w:p w14:paraId="1FFED27F" w14:textId="77777777" w:rsidR="001F4CBE" w:rsidRPr="009178D0" w:rsidRDefault="001F4CBE" w:rsidP="001F4CBE">
            <w:pPr>
              <w:rPr>
                <w:rFonts w:cs="Arial"/>
                <w:sz w:val="20"/>
                <w:szCs w:val="20"/>
              </w:rPr>
            </w:pPr>
            <w:proofErr w:type="spellStart"/>
            <w:r w:rsidRPr="009178D0">
              <w:rPr>
                <w:rFonts w:cs="Arial"/>
                <w:sz w:val="20"/>
                <w:szCs w:val="20"/>
              </w:rPr>
              <w:t>Zerbaxa</w:t>
            </w:r>
            <w:proofErr w:type="spellEnd"/>
          </w:p>
        </w:tc>
        <w:tc>
          <w:tcPr>
            <w:tcW w:w="1890" w:type="dxa"/>
            <w:shd w:val="clear" w:color="auto" w:fill="B4C6E7" w:themeFill="accent1" w:themeFillTint="66"/>
            <w:noWrap/>
          </w:tcPr>
          <w:p w14:paraId="0DDE2709" w14:textId="0B15CF0A" w:rsidR="001F4CBE" w:rsidRPr="009178D0" w:rsidRDefault="001F4CBE" w:rsidP="001F4CBE">
            <w:pPr>
              <w:rPr>
                <w:rFonts w:cs="Arial"/>
                <w:sz w:val="20"/>
                <w:szCs w:val="20"/>
              </w:rPr>
            </w:pPr>
            <w:r w:rsidRPr="009178D0">
              <w:rPr>
                <w:rFonts w:cs="Arial"/>
                <w:sz w:val="20"/>
                <w:szCs w:val="20"/>
              </w:rPr>
              <w:t>Levofloxacin</w:t>
            </w:r>
          </w:p>
        </w:tc>
        <w:tc>
          <w:tcPr>
            <w:tcW w:w="1890" w:type="dxa"/>
          </w:tcPr>
          <w:p w14:paraId="1E8C3008" w14:textId="5EB47192" w:rsidR="001F4CBE" w:rsidRPr="009178D0" w:rsidRDefault="001F4CBE" w:rsidP="001F4CBE">
            <w:pPr>
              <w:rPr>
                <w:rFonts w:cs="Arial"/>
                <w:sz w:val="20"/>
                <w:szCs w:val="20"/>
              </w:rPr>
            </w:pPr>
            <w:r w:rsidRPr="009178D0">
              <w:rPr>
                <w:rFonts w:cs="Arial"/>
                <w:sz w:val="20"/>
                <w:szCs w:val="20"/>
              </w:rPr>
              <w:t xml:space="preserve">Levaquin, </w:t>
            </w:r>
            <w:proofErr w:type="spellStart"/>
            <w:r w:rsidRPr="009178D0">
              <w:rPr>
                <w:rFonts w:cs="Arial"/>
                <w:sz w:val="20"/>
                <w:szCs w:val="20"/>
              </w:rPr>
              <w:t>Quixin</w:t>
            </w:r>
            <w:proofErr w:type="spellEnd"/>
          </w:p>
        </w:tc>
        <w:tc>
          <w:tcPr>
            <w:tcW w:w="1530" w:type="dxa"/>
            <w:noWrap/>
            <w:hideMark/>
          </w:tcPr>
          <w:p w14:paraId="031B5962" w14:textId="77777777" w:rsidR="001F4CBE" w:rsidRPr="009178D0" w:rsidRDefault="001F4CBE" w:rsidP="001F4CBE">
            <w:pPr>
              <w:rPr>
                <w:rFonts w:cs="Arial"/>
                <w:sz w:val="20"/>
                <w:szCs w:val="20"/>
              </w:rPr>
            </w:pPr>
          </w:p>
        </w:tc>
        <w:tc>
          <w:tcPr>
            <w:tcW w:w="1620" w:type="dxa"/>
            <w:noWrap/>
            <w:hideMark/>
          </w:tcPr>
          <w:p w14:paraId="4B40BA1A" w14:textId="77777777" w:rsidR="001F4CBE" w:rsidRPr="009178D0" w:rsidRDefault="001F4CBE" w:rsidP="001F4CBE">
            <w:pPr>
              <w:rPr>
                <w:rFonts w:cs="Arial"/>
                <w:sz w:val="20"/>
                <w:szCs w:val="20"/>
              </w:rPr>
            </w:pPr>
          </w:p>
        </w:tc>
      </w:tr>
      <w:tr w:rsidR="00B10A7E" w:rsidRPr="00F606BC" w14:paraId="1A9E9E16" w14:textId="77777777" w:rsidTr="00915128">
        <w:trPr>
          <w:trHeight w:val="828"/>
        </w:trPr>
        <w:tc>
          <w:tcPr>
            <w:tcW w:w="1885" w:type="dxa"/>
            <w:shd w:val="clear" w:color="auto" w:fill="B4C6E7" w:themeFill="accent1" w:themeFillTint="66"/>
            <w:noWrap/>
            <w:hideMark/>
          </w:tcPr>
          <w:p w14:paraId="0FE51AA2" w14:textId="77777777" w:rsidR="001F4CBE" w:rsidRPr="009178D0" w:rsidRDefault="001F4CBE" w:rsidP="001F4CBE">
            <w:pPr>
              <w:rPr>
                <w:rFonts w:cs="Arial"/>
                <w:sz w:val="20"/>
                <w:szCs w:val="20"/>
              </w:rPr>
            </w:pPr>
            <w:r w:rsidRPr="009178D0">
              <w:rPr>
                <w:rFonts w:cs="Arial"/>
                <w:sz w:val="20"/>
                <w:szCs w:val="20"/>
              </w:rPr>
              <w:t xml:space="preserve">IV Vancomycin </w:t>
            </w:r>
          </w:p>
        </w:tc>
        <w:tc>
          <w:tcPr>
            <w:tcW w:w="1890" w:type="dxa"/>
            <w:hideMark/>
          </w:tcPr>
          <w:p w14:paraId="633B61C3" w14:textId="77777777" w:rsidR="001F4CBE" w:rsidRPr="009178D0" w:rsidRDefault="001F4CBE" w:rsidP="001F4CBE">
            <w:pPr>
              <w:rPr>
                <w:rFonts w:cs="Arial"/>
                <w:sz w:val="20"/>
                <w:szCs w:val="20"/>
              </w:rPr>
            </w:pPr>
            <w:proofErr w:type="spellStart"/>
            <w:r w:rsidRPr="009178D0">
              <w:rPr>
                <w:rFonts w:cs="Arial"/>
                <w:sz w:val="20"/>
                <w:szCs w:val="20"/>
              </w:rPr>
              <w:t>Vancocin</w:t>
            </w:r>
            <w:proofErr w:type="spellEnd"/>
            <w:r w:rsidRPr="009178D0">
              <w:rPr>
                <w:rFonts w:cs="Arial"/>
                <w:sz w:val="20"/>
                <w:szCs w:val="20"/>
              </w:rPr>
              <w:t xml:space="preserve">, </w:t>
            </w:r>
            <w:proofErr w:type="spellStart"/>
            <w:r w:rsidRPr="009178D0">
              <w:rPr>
                <w:rFonts w:cs="Arial"/>
                <w:sz w:val="20"/>
                <w:szCs w:val="20"/>
              </w:rPr>
              <w:t>Lyphocin</w:t>
            </w:r>
            <w:proofErr w:type="spellEnd"/>
          </w:p>
        </w:tc>
        <w:tc>
          <w:tcPr>
            <w:tcW w:w="1621" w:type="dxa"/>
            <w:shd w:val="clear" w:color="auto" w:fill="B4C6E7" w:themeFill="accent1" w:themeFillTint="66"/>
            <w:noWrap/>
            <w:hideMark/>
          </w:tcPr>
          <w:p w14:paraId="7822566B" w14:textId="77777777" w:rsidR="001F4CBE" w:rsidRPr="009178D0" w:rsidRDefault="001F4CBE" w:rsidP="001F4CBE">
            <w:pPr>
              <w:rPr>
                <w:rFonts w:cs="Arial"/>
                <w:sz w:val="20"/>
                <w:szCs w:val="20"/>
              </w:rPr>
            </w:pPr>
            <w:r w:rsidRPr="009178D0">
              <w:rPr>
                <w:rFonts w:cs="Arial"/>
                <w:sz w:val="20"/>
                <w:szCs w:val="20"/>
              </w:rPr>
              <w:t xml:space="preserve">Cefuroxime </w:t>
            </w:r>
          </w:p>
        </w:tc>
        <w:tc>
          <w:tcPr>
            <w:tcW w:w="1799" w:type="dxa"/>
            <w:hideMark/>
          </w:tcPr>
          <w:p w14:paraId="585A4C3E" w14:textId="77777777" w:rsidR="001F4CBE" w:rsidRPr="009178D0" w:rsidRDefault="001F4CBE" w:rsidP="001F4CBE">
            <w:pPr>
              <w:rPr>
                <w:rFonts w:cs="Arial"/>
                <w:sz w:val="20"/>
                <w:szCs w:val="20"/>
              </w:rPr>
            </w:pPr>
            <w:r w:rsidRPr="009178D0">
              <w:rPr>
                <w:rFonts w:cs="Arial"/>
                <w:sz w:val="20"/>
                <w:szCs w:val="20"/>
              </w:rPr>
              <w:t xml:space="preserve">Ceftin, </w:t>
            </w:r>
            <w:proofErr w:type="spellStart"/>
            <w:r w:rsidRPr="009178D0">
              <w:rPr>
                <w:rFonts w:cs="Arial"/>
                <w:sz w:val="20"/>
                <w:szCs w:val="20"/>
              </w:rPr>
              <w:t>Kefurox</w:t>
            </w:r>
            <w:proofErr w:type="spellEnd"/>
            <w:r w:rsidRPr="009178D0">
              <w:rPr>
                <w:rFonts w:cs="Arial"/>
                <w:sz w:val="20"/>
                <w:szCs w:val="20"/>
              </w:rPr>
              <w:t xml:space="preserve">, </w:t>
            </w:r>
            <w:proofErr w:type="spellStart"/>
            <w:r w:rsidRPr="009178D0">
              <w:rPr>
                <w:rFonts w:cs="Arial"/>
                <w:sz w:val="20"/>
                <w:szCs w:val="20"/>
              </w:rPr>
              <w:t>Zinacef</w:t>
            </w:r>
            <w:proofErr w:type="spellEnd"/>
          </w:p>
        </w:tc>
        <w:tc>
          <w:tcPr>
            <w:tcW w:w="1890" w:type="dxa"/>
            <w:shd w:val="clear" w:color="auto" w:fill="B4C6E7" w:themeFill="accent1" w:themeFillTint="66"/>
            <w:noWrap/>
          </w:tcPr>
          <w:p w14:paraId="1B2BCCA7" w14:textId="4B75DE0E" w:rsidR="001F4CBE" w:rsidRPr="009178D0" w:rsidRDefault="001F4CBE" w:rsidP="001F4CBE">
            <w:pPr>
              <w:rPr>
                <w:rFonts w:cs="Arial"/>
                <w:sz w:val="20"/>
                <w:szCs w:val="20"/>
              </w:rPr>
            </w:pPr>
            <w:r w:rsidRPr="009178D0">
              <w:rPr>
                <w:rFonts w:cs="Arial"/>
                <w:sz w:val="20"/>
                <w:szCs w:val="20"/>
              </w:rPr>
              <w:t>Nitrofurantoin</w:t>
            </w:r>
          </w:p>
        </w:tc>
        <w:tc>
          <w:tcPr>
            <w:tcW w:w="1890" w:type="dxa"/>
          </w:tcPr>
          <w:p w14:paraId="7A56EC3F" w14:textId="03D4AE22" w:rsidR="001F4CBE" w:rsidRPr="009178D0" w:rsidRDefault="001F4CBE" w:rsidP="001F4CBE">
            <w:pPr>
              <w:rPr>
                <w:rFonts w:cs="Arial"/>
                <w:sz w:val="20"/>
                <w:szCs w:val="20"/>
              </w:rPr>
            </w:pPr>
            <w:r w:rsidRPr="009178D0">
              <w:rPr>
                <w:rFonts w:cs="Arial"/>
                <w:sz w:val="20"/>
                <w:szCs w:val="20"/>
              </w:rPr>
              <w:t>Macrobid</w:t>
            </w:r>
          </w:p>
        </w:tc>
        <w:tc>
          <w:tcPr>
            <w:tcW w:w="1530" w:type="dxa"/>
            <w:noWrap/>
            <w:hideMark/>
          </w:tcPr>
          <w:p w14:paraId="73B214F6" w14:textId="77777777" w:rsidR="001F4CBE" w:rsidRPr="009178D0" w:rsidRDefault="001F4CBE" w:rsidP="001F4CBE">
            <w:pPr>
              <w:rPr>
                <w:rFonts w:cs="Arial"/>
                <w:sz w:val="20"/>
                <w:szCs w:val="20"/>
              </w:rPr>
            </w:pPr>
          </w:p>
        </w:tc>
        <w:tc>
          <w:tcPr>
            <w:tcW w:w="1620" w:type="dxa"/>
            <w:noWrap/>
            <w:hideMark/>
          </w:tcPr>
          <w:p w14:paraId="11DB06C0" w14:textId="77777777" w:rsidR="001F4CBE" w:rsidRPr="009178D0" w:rsidRDefault="001F4CBE" w:rsidP="001F4CBE">
            <w:pPr>
              <w:rPr>
                <w:rFonts w:cs="Arial"/>
                <w:sz w:val="20"/>
                <w:szCs w:val="20"/>
              </w:rPr>
            </w:pPr>
          </w:p>
        </w:tc>
      </w:tr>
      <w:tr w:rsidR="00B10A7E" w:rsidRPr="00F606BC" w14:paraId="4F1EF9FF" w14:textId="77777777" w:rsidTr="00915128">
        <w:trPr>
          <w:trHeight w:val="276"/>
        </w:trPr>
        <w:tc>
          <w:tcPr>
            <w:tcW w:w="1885" w:type="dxa"/>
            <w:noWrap/>
            <w:hideMark/>
          </w:tcPr>
          <w:p w14:paraId="52237D85" w14:textId="77777777" w:rsidR="001F4CBE" w:rsidRPr="009178D0" w:rsidRDefault="001F4CBE" w:rsidP="001F4CBE">
            <w:pPr>
              <w:rPr>
                <w:rFonts w:cs="Arial"/>
                <w:sz w:val="20"/>
                <w:szCs w:val="20"/>
              </w:rPr>
            </w:pPr>
          </w:p>
        </w:tc>
        <w:tc>
          <w:tcPr>
            <w:tcW w:w="1890" w:type="dxa"/>
            <w:noWrap/>
            <w:hideMark/>
          </w:tcPr>
          <w:p w14:paraId="369334C1" w14:textId="77777777" w:rsidR="001F4CBE" w:rsidRPr="009178D0" w:rsidRDefault="001F4CBE" w:rsidP="001F4CBE">
            <w:pPr>
              <w:rPr>
                <w:rFonts w:cs="Arial"/>
                <w:sz w:val="20"/>
                <w:szCs w:val="20"/>
              </w:rPr>
            </w:pPr>
          </w:p>
        </w:tc>
        <w:tc>
          <w:tcPr>
            <w:tcW w:w="1621" w:type="dxa"/>
            <w:shd w:val="clear" w:color="auto" w:fill="B4C6E7" w:themeFill="accent1" w:themeFillTint="66"/>
            <w:noWrap/>
            <w:hideMark/>
          </w:tcPr>
          <w:p w14:paraId="485B96FF" w14:textId="77777777" w:rsidR="001F4CBE" w:rsidRPr="009178D0" w:rsidRDefault="001F4CBE" w:rsidP="001F4CBE">
            <w:pPr>
              <w:rPr>
                <w:rFonts w:cs="Arial"/>
                <w:sz w:val="20"/>
                <w:szCs w:val="20"/>
              </w:rPr>
            </w:pPr>
            <w:r w:rsidRPr="009178D0">
              <w:rPr>
                <w:rFonts w:cs="Arial"/>
                <w:sz w:val="20"/>
                <w:szCs w:val="20"/>
              </w:rPr>
              <w:t xml:space="preserve">Clindamycin </w:t>
            </w:r>
          </w:p>
        </w:tc>
        <w:tc>
          <w:tcPr>
            <w:tcW w:w="1799" w:type="dxa"/>
            <w:hideMark/>
          </w:tcPr>
          <w:p w14:paraId="7CBC8807" w14:textId="77777777" w:rsidR="001F4CBE" w:rsidRPr="009178D0" w:rsidRDefault="001F4CBE" w:rsidP="001F4CBE">
            <w:pPr>
              <w:rPr>
                <w:rFonts w:cs="Arial"/>
                <w:sz w:val="20"/>
                <w:szCs w:val="20"/>
              </w:rPr>
            </w:pPr>
            <w:r w:rsidRPr="009178D0">
              <w:rPr>
                <w:rFonts w:cs="Arial"/>
                <w:sz w:val="20"/>
                <w:szCs w:val="20"/>
              </w:rPr>
              <w:t>Cleocin</w:t>
            </w:r>
          </w:p>
        </w:tc>
        <w:tc>
          <w:tcPr>
            <w:tcW w:w="1890" w:type="dxa"/>
            <w:shd w:val="clear" w:color="auto" w:fill="B4C6E7" w:themeFill="accent1" w:themeFillTint="66"/>
            <w:noWrap/>
            <w:hideMark/>
          </w:tcPr>
          <w:p w14:paraId="67BB7B1D" w14:textId="7BE89819" w:rsidR="001F4CBE" w:rsidRPr="009178D0" w:rsidRDefault="001F4CBE" w:rsidP="001F4CBE">
            <w:pPr>
              <w:rPr>
                <w:rFonts w:cs="Arial"/>
                <w:sz w:val="20"/>
                <w:szCs w:val="20"/>
              </w:rPr>
            </w:pPr>
            <w:r w:rsidRPr="009178D0">
              <w:rPr>
                <w:rFonts w:cs="Arial"/>
                <w:sz w:val="20"/>
                <w:szCs w:val="20"/>
              </w:rPr>
              <w:t>Trimethoprim-</w:t>
            </w:r>
            <w:r w:rsidR="00B10A7E">
              <w:rPr>
                <w:rFonts w:cs="Arial"/>
                <w:sz w:val="20"/>
                <w:szCs w:val="20"/>
              </w:rPr>
              <w:t xml:space="preserve"> </w:t>
            </w:r>
            <w:r w:rsidRPr="009178D0">
              <w:rPr>
                <w:rFonts w:cs="Arial"/>
                <w:sz w:val="20"/>
                <w:szCs w:val="20"/>
              </w:rPr>
              <w:t>Sulfamethoxazole</w:t>
            </w:r>
          </w:p>
        </w:tc>
        <w:tc>
          <w:tcPr>
            <w:tcW w:w="1890" w:type="dxa"/>
            <w:noWrap/>
            <w:hideMark/>
          </w:tcPr>
          <w:p w14:paraId="1E6EEA11" w14:textId="6E51A703" w:rsidR="001F4CBE" w:rsidRPr="009178D0" w:rsidRDefault="001F4CBE" w:rsidP="001F4CBE">
            <w:pPr>
              <w:rPr>
                <w:rFonts w:cs="Arial"/>
                <w:sz w:val="20"/>
                <w:szCs w:val="20"/>
              </w:rPr>
            </w:pPr>
            <w:r w:rsidRPr="009178D0">
              <w:rPr>
                <w:rFonts w:cs="Arial"/>
                <w:sz w:val="20"/>
                <w:szCs w:val="20"/>
              </w:rPr>
              <w:t>Co-</w:t>
            </w:r>
            <w:proofErr w:type="spellStart"/>
            <w:r w:rsidRPr="009178D0">
              <w:rPr>
                <w:rFonts w:cs="Arial"/>
                <w:sz w:val="20"/>
                <w:szCs w:val="20"/>
              </w:rPr>
              <w:t>Trimaxazole</w:t>
            </w:r>
            <w:proofErr w:type="spellEnd"/>
            <w:r w:rsidRPr="009178D0">
              <w:rPr>
                <w:rFonts w:cs="Arial"/>
                <w:sz w:val="20"/>
                <w:szCs w:val="20"/>
              </w:rPr>
              <w:t xml:space="preserve">, Sulfamethoxazole, </w:t>
            </w:r>
            <w:proofErr w:type="spellStart"/>
            <w:r w:rsidRPr="009178D0">
              <w:rPr>
                <w:rFonts w:cs="Arial"/>
                <w:sz w:val="20"/>
                <w:szCs w:val="20"/>
              </w:rPr>
              <w:t>Sulfisoxazole</w:t>
            </w:r>
            <w:proofErr w:type="spellEnd"/>
            <w:r w:rsidRPr="009178D0">
              <w:rPr>
                <w:rFonts w:cs="Arial"/>
                <w:sz w:val="20"/>
                <w:szCs w:val="20"/>
              </w:rPr>
              <w:t>, Trimethoprim, Trimethoprim-Sulfamethoxazole, TMP-SMX</w:t>
            </w:r>
          </w:p>
        </w:tc>
        <w:tc>
          <w:tcPr>
            <w:tcW w:w="1530" w:type="dxa"/>
            <w:noWrap/>
            <w:hideMark/>
          </w:tcPr>
          <w:p w14:paraId="2016628C" w14:textId="77777777" w:rsidR="001F4CBE" w:rsidRPr="009178D0" w:rsidRDefault="001F4CBE" w:rsidP="001F4CBE">
            <w:pPr>
              <w:rPr>
                <w:rFonts w:cs="Arial"/>
                <w:sz w:val="20"/>
                <w:szCs w:val="20"/>
              </w:rPr>
            </w:pPr>
          </w:p>
        </w:tc>
        <w:tc>
          <w:tcPr>
            <w:tcW w:w="1620" w:type="dxa"/>
            <w:noWrap/>
            <w:hideMark/>
          </w:tcPr>
          <w:p w14:paraId="15CF5C92" w14:textId="77777777" w:rsidR="001F4CBE" w:rsidRPr="009178D0" w:rsidRDefault="001F4CBE" w:rsidP="001F4CBE">
            <w:pPr>
              <w:rPr>
                <w:rFonts w:cs="Arial"/>
                <w:sz w:val="20"/>
                <w:szCs w:val="20"/>
              </w:rPr>
            </w:pPr>
          </w:p>
        </w:tc>
      </w:tr>
      <w:tr w:rsidR="00B10A7E" w:rsidRPr="00F606BC" w14:paraId="4D6AC44A" w14:textId="77777777" w:rsidTr="00915128">
        <w:trPr>
          <w:trHeight w:val="552"/>
        </w:trPr>
        <w:tc>
          <w:tcPr>
            <w:tcW w:w="1885" w:type="dxa"/>
            <w:noWrap/>
            <w:hideMark/>
          </w:tcPr>
          <w:p w14:paraId="726984E0" w14:textId="77777777" w:rsidR="00F606BC" w:rsidRPr="009178D0" w:rsidRDefault="00F606BC">
            <w:pPr>
              <w:rPr>
                <w:rFonts w:cs="Arial"/>
                <w:sz w:val="20"/>
                <w:szCs w:val="20"/>
              </w:rPr>
            </w:pPr>
          </w:p>
        </w:tc>
        <w:tc>
          <w:tcPr>
            <w:tcW w:w="1890" w:type="dxa"/>
            <w:noWrap/>
            <w:hideMark/>
          </w:tcPr>
          <w:p w14:paraId="551B6C07"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180C1CB1" w14:textId="77777777" w:rsidR="00F606BC" w:rsidRPr="009178D0" w:rsidRDefault="00F606BC">
            <w:pPr>
              <w:rPr>
                <w:rFonts w:cs="Arial"/>
                <w:sz w:val="20"/>
                <w:szCs w:val="20"/>
              </w:rPr>
            </w:pPr>
            <w:r w:rsidRPr="009178D0">
              <w:rPr>
                <w:rFonts w:cs="Arial"/>
                <w:sz w:val="20"/>
                <w:szCs w:val="20"/>
              </w:rPr>
              <w:t xml:space="preserve">Colistin </w:t>
            </w:r>
          </w:p>
        </w:tc>
        <w:tc>
          <w:tcPr>
            <w:tcW w:w="1799" w:type="dxa"/>
            <w:hideMark/>
          </w:tcPr>
          <w:p w14:paraId="23B5651B" w14:textId="77777777" w:rsidR="00F606BC" w:rsidRPr="009178D0" w:rsidRDefault="00F606BC">
            <w:pPr>
              <w:rPr>
                <w:rFonts w:cs="Arial"/>
                <w:sz w:val="20"/>
                <w:szCs w:val="20"/>
              </w:rPr>
            </w:pPr>
            <w:proofErr w:type="spellStart"/>
            <w:r w:rsidRPr="009178D0">
              <w:rPr>
                <w:rFonts w:cs="Arial"/>
                <w:sz w:val="20"/>
                <w:szCs w:val="20"/>
              </w:rPr>
              <w:t>Xylistin</w:t>
            </w:r>
            <w:proofErr w:type="spellEnd"/>
            <w:r w:rsidRPr="009178D0">
              <w:rPr>
                <w:rFonts w:cs="Arial"/>
                <w:sz w:val="20"/>
                <w:szCs w:val="20"/>
              </w:rPr>
              <w:t xml:space="preserve">, Polymyxin E, </w:t>
            </w:r>
            <w:proofErr w:type="spellStart"/>
            <w:r w:rsidRPr="009178D0">
              <w:rPr>
                <w:rFonts w:cs="Arial"/>
                <w:sz w:val="20"/>
                <w:szCs w:val="20"/>
              </w:rPr>
              <w:t>Colistimethate</w:t>
            </w:r>
            <w:proofErr w:type="spellEnd"/>
          </w:p>
        </w:tc>
        <w:tc>
          <w:tcPr>
            <w:tcW w:w="1890" w:type="dxa"/>
            <w:noWrap/>
            <w:hideMark/>
          </w:tcPr>
          <w:p w14:paraId="00F47622" w14:textId="77777777" w:rsidR="00F606BC" w:rsidRPr="009178D0" w:rsidRDefault="00F606BC">
            <w:pPr>
              <w:rPr>
                <w:rFonts w:cs="Arial"/>
                <w:sz w:val="20"/>
                <w:szCs w:val="20"/>
              </w:rPr>
            </w:pPr>
          </w:p>
        </w:tc>
        <w:tc>
          <w:tcPr>
            <w:tcW w:w="1890" w:type="dxa"/>
            <w:noWrap/>
            <w:hideMark/>
          </w:tcPr>
          <w:p w14:paraId="3D64A81B" w14:textId="77777777" w:rsidR="00F606BC" w:rsidRPr="009178D0" w:rsidRDefault="00F606BC">
            <w:pPr>
              <w:rPr>
                <w:rFonts w:cs="Arial"/>
                <w:sz w:val="20"/>
                <w:szCs w:val="20"/>
              </w:rPr>
            </w:pPr>
          </w:p>
        </w:tc>
        <w:tc>
          <w:tcPr>
            <w:tcW w:w="1530" w:type="dxa"/>
            <w:noWrap/>
            <w:hideMark/>
          </w:tcPr>
          <w:p w14:paraId="5991DEA9" w14:textId="77777777" w:rsidR="00F606BC" w:rsidRPr="009178D0" w:rsidRDefault="00F606BC">
            <w:pPr>
              <w:rPr>
                <w:rFonts w:cs="Arial"/>
                <w:sz w:val="20"/>
                <w:szCs w:val="20"/>
              </w:rPr>
            </w:pPr>
          </w:p>
        </w:tc>
        <w:tc>
          <w:tcPr>
            <w:tcW w:w="1620" w:type="dxa"/>
            <w:noWrap/>
            <w:hideMark/>
          </w:tcPr>
          <w:p w14:paraId="4C17F04E" w14:textId="77777777" w:rsidR="00F606BC" w:rsidRPr="009178D0" w:rsidRDefault="00F606BC">
            <w:pPr>
              <w:rPr>
                <w:rFonts w:cs="Arial"/>
                <w:sz w:val="20"/>
                <w:szCs w:val="20"/>
              </w:rPr>
            </w:pPr>
          </w:p>
        </w:tc>
      </w:tr>
      <w:tr w:rsidR="00B10A7E" w:rsidRPr="00F606BC" w14:paraId="6960A8B3" w14:textId="77777777" w:rsidTr="00915128">
        <w:trPr>
          <w:trHeight w:val="288"/>
        </w:trPr>
        <w:tc>
          <w:tcPr>
            <w:tcW w:w="1885" w:type="dxa"/>
            <w:noWrap/>
            <w:hideMark/>
          </w:tcPr>
          <w:p w14:paraId="13F93090" w14:textId="77777777" w:rsidR="00F606BC" w:rsidRPr="009178D0" w:rsidRDefault="00F606BC">
            <w:pPr>
              <w:rPr>
                <w:rFonts w:cs="Arial"/>
                <w:sz w:val="20"/>
                <w:szCs w:val="20"/>
              </w:rPr>
            </w:pPr>
          </w:p>
        </w:tc>
        <w:tc>
          <w:tcPr>
            <w:tcW w:w="1890" w:type="dxa"/>
            <w:noWrap/>
            <w:hideMark/>
          </w:tcPr>
          <w:p w14:paraId="59C8CA72"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070B51DB" w14:textId="77777777" w:rsidR="00F606BC" w:rsidRPr="009178D0" w:rsidRDefault="00F606BC">
            <w:pPr>
              <w:rPr>
                <w:rFonts w:cs="Arial"/>
                <w:sz w:val="20"/>
                <w:szCs w:val="20"/>
              </w:rPr>
            </w:pPr>
            <w:r w:rsidRPr="009178D0">
              <w:rPr>
                <w:rFonts w:cs="Arial"/>
                <w:sz w:val="20"/>
                <w:szCs w:val="20"/>
              </w:rPr>
              <w:t>Dalbavancin</w:t>
            </w:r>
          </w:p>
        </w:tc>
        <w:tc>
          <w:tcPr>
            <w:tcW w:w="1799" w:type="dxa"/>
            <w:hideMark/>
          </w:tcPr>
          <w:p w14:paraId="584FFB40" w14:textId="77777777" w:rsidR="00F606BC" w:rsidRPr="009178D0" w:rsidRDefault="00F606BC">
            <w:pPr>
              <w:rPr>
                <w:rFonts w:cs="Arial"/>
                <w:sz w:val="20"/>
                <w:szCs w:val="20"/>
              </w:rPr>
            </w:pPr>
            <w:r w:rsidRPr="009178D0">
              <w:rPr>
                <w:rFonts w:cs="Arial"/>
                <w:sz w:val="20"/>
                <w:szCs w:val="20"/>
              </w:rPr>
              <w:t>n/a</w:t>
            </w:r>
          </w:p>
        </w:tc>
        <w:tc>
          <w:tcPr>
            <w:tcW w:w="1890" w:type="dxa"/>
            <w:noWrap/>
            <w:hideMark/>
          </w:tcPr>
          <w:p w14:paraId="0F66A50A" w14:textId="77777777" w:rsidR="00F606BC" w:rsidRPr="009178D0" w:rsidRDefault="00F606BC">
            <w:pPr>
              <w:rPr>
                <w:rFonts w:cs="Arial"/>
                <w:sz w:val="20"/>
                <w:szCs w:val="20"/>
              </w:rPr>
            </w:pPr>
          </w:p>
        </w:tc>
        <w:tc>
          <w:tcPr>
            <w:tcW w:w="1890" w:type="dxa"/>
            <w:noWrap/>
            <w:hideMark/>
          </w:tcPr>
          <w:p w14:paraId="6FD61B7D" w14:textId="77777777" w:rsidR="00F606BC" w:rsidRPr="009178D0" w:rsidRDefault="00F606BC">
            <w:pPr>
              <w:rPr>
                <w:rFonts w:cs="Arial"/>
                <w:sz w:val="20"/>
                <w:szCs w:val="20"/>
              </w:rPr>
            </w:pPr>
          </w:p>
        </w:tc>
        <w:tc>
          <w:tcPr>
            <w:tcW w:w="1530" w:type="dxa"/>
            <w:noWrap/>
            <w:hideMark/>
          </w:tcPr>
          <w:p w14:paraId="03E986B8" w14:textId="77777777" w:rsidR="00F606BC" w:rsidRPr="009178D0" w:rsidRDefault="00F606BC">
            <w:pPr>
              <w:rPr>
                <w:rFonts w:cs="Arial"/>
                <w:sz w:val="20"/>
                <w:szCs w:val="20"/>
              </w:rPr>
            </w:pPr>
          </w:p>
        </w:tc>
        <w:tc>
          <w:tcPr>
            <w:tcW w:w="1620" w:type="dxa"/>
            <w:noWrap/>
            <w:hideMark/>
          </w:tcPr>
          <w:p w14:paraId="30E20182" w14:textId="77777777" w:rsidR="00F606BC" w:rsidRPr="009178D0" w:rsidRDefault="00F606BC">
            <w:pPr>
              <w:rPr>
                <w:rFonts w:cs="Arial"/>
                <w:sz w:val="20"/>
                <w:szCs w:val="20"/>
              </w:rPr>
            </w:pPr>
          </w:p>
        </w:tc>
      </w:tr>
      <w:tr w:rsidR="00B10A7E" w:rsidRPr="00F606BC" w14:paraId="063A6780" w14:textId="77777777" w:rsidTr="00915128">
        <w:trPr>
          <w:trHeight w:val="288"/>
        </w:trPr>
        <w:tc>
          <w:tcPr>
            <w:tcW w:w="1885" w:type="dxa"/>
            <w:noWrap/>
            <w:hideMark/>
          </w:tcPr>
          <w:p w14:paraId="3C34B804" w14:textId="77777777" w:rsidR="00F606BC" w:rsidRPr="009178D0" w:rsidRDefault="00F606BC">
            <w:pPr>
              <w:rPr>
                <w:rFonts w:cs="Arial"/>
                <w:sz w:val="20"/>
                <w:szCs w:val="20"/>
              </w:rPr>
            </w:pPr>
          </w:p>
        </w:tc>
        <w:tc>
          <w:tcPr>
            <w:tcW w:w="1890" w:type="dxa"/>
            <w:noWrap/>
            <w:hideMark/>
          </w:tcPr>
          <w:p w14:paraId="4D8434E3"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63EDD496" w14:textId="77777777" w:rsidR="00F606BC" w:rsidRPr="009178D0" w:rsidRDefault="00F606BC">
            <w:pPr>
              <w:rPr>
                <w:rFonts w:cs="Arial"/>
                <w:sz w:val="20"/>
                <w:szCs w:val="20"/>
              </w:rPr>
            </w:pPr>
            <w:r w:rsidRPr="009178D0">
              <w:rPr>
                <w:rFonts w:cs="Arial"/>
                <w:sz w:val="20"/>
                <w:szCs w:val="20"/>
              </w:rPr>
              <w:t>Daptomycin</w:t>
            </w:r>
          </w:p>
        </w:tc>
        <w:tc>
          <w:tcPr>
            <w:tcW w:w="1799" w:type="dxa"/>
            <w:hideMark/>
          </w:tcPr>
          <w:p w14:paraId="36015C74" w14:textId="77777777" w:rsidR="00F606BC" w:rsidRPr="009178D0" w:rsidRDefault="00F606BC">
            <w:pPr>
              <w:rPr>
                <w:rFonts w:cs="Arial"/>
                <w:sz w:val="20"/>
                <w:szCs w:val="20"/>
              </w:rPr>
            </w:pPr>
            <w:r w:rsidRPr="009178D0">
              <w:rPr>
                <w:rFonts w:cs="Arial"/>
                <w:sz w:val="20"/>
                <w:szCs w:val="20"/>
              </w:rPr>
              <w:t>n/a</w:t>
            </w:r>
          </w:p>
        </w:tc>
        <w:tc>
          <w:tcPr>
            <w:tcW w:w="1890" w:type="dxa"/>
            <w:noWrap/>
            <w:hideMark/>
          </w:tcPr>
          <w:p w14:paraId="6D449F6F" w14:textId="77777777" w:rsidR="00F606BC" w:rsidRPr="009178D0" w:rsidRDefault="00F606BC">
            <w:pPr>
              <w:rPr>
                <w:rFonts w:cs="Arial"/>
                <w:sz w:val="20"/>
                <w:szCs w:val="20"/>
              </w:rPr>
            </w:pPr>
          </w:p>
        </w:tc>
        <w:tc>
          <w:tcPr>
            <w:tcW w:w="1890" w:type="dxa"/>
            <w:noWrap/>
            <w:hideMark/>
          </w:tcPr>
          <w:p w14:paraId="7CA56898" w14:textId="77777777" w:rsidR="00F606BC" w:rsidRPr="009178D0" w:rsidRDefault="00F606BC">
            <w:pPr>
              <w:rPr>
                <w:rFonts w:cs="Arial"/>
                <w:sz w:val="20"/>
                <w:szCs w:val="20"/>
              </w:rPr>
            </w:pPr>
          </w:p>
        </w:tc>
        <w:tc>
          <w:tcPr>
            <w:tcW w:w="1530" w:type="dxa"/>
            <w:noWrap/>
            <w:hideMark/>
          </w:tcPr>
          <w:p w14:paraId="70AA9869" w14:textId="77777777" w:rsidR="00F606BC" w:rsidRPr="009178D0" w:rsidRDefault="00F606BC">
            <w:pPr>
              <w:rPr>
                <w:rFonts w:cs="Arial"/>
                <w:sz w:val="20"/>
                <w:szCs w:val="20"/>
              </w:rPr>
            </w:pPr>
          </w:p>
        </w:tc>
        <w:tc>
          <w:tcPr>
            <w:tcW w:w="1620" w:type="dxa"/>
            <w:noWrap/>
            <w:hideMark/>
          </w:tcPr>
          <w:p w14:paraId="5BA5E476" w14:textId="77777777" w:rsidR="00F606BC" w:rsidRPr="009178D0" w:rsidRDefault="00F606BC">
            <w:pPr>
              <w:rPr>
                <w:rFonts w:cs="Arial"/>
                <w:sz w:val="20"/>
                <w:szCs w:val="20"/>
              </w:rPr>
            </w:pPr>
          </w:p>
        </w:tc>
      </w:tr>
      <w:tr w:rsidR="00B10A7E" w:rsidRPr="00F606BC" w14:paraId="5BD31596" w14:textId="77777777" w:rsidTr="00915128">
        <w:trPr>
          <w:trHeight w:val="288"/>
        </w:trPr>
        <w:tc>
          <w:tcPr>
            <w:tcW w:w="1885" w:type="dxa"/>
            <w:noWrap/>
            <w:hideMark/>
          </w:tcPr>
          <w:p w14:paraId="09A14ACE" w14:textId="77777777" w:rsidR="00F606BC" w:rsidRPr="009178D0" w:rsidRDefault="00F606BC">
            <w:pPr>
              <w:rPr>
                <w:rFonts w:cs="Arial"/>
                <w:sz w:val="20"/>
                <w:szCs w:val="20"/>
              </w:rPr>
            </w:pPr>
          </w:p>
        </w:tc>
        <w:tc>
          <w:tcPr>
            <w:tcW w:w="1890" w:type="dxa"/>
            <w:noWrap/>
            <w:hideMark/>
          </w:tcPr>
          <w:p w14:paraId="0BBF883F"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4DDA9055" w14:textId="77777777" w:rsidR="00F606BC" w:rsidRPr="009178D0" w:rsidRDefault="00F606BC">
            <w:pPr>
              <w:rPr>
                <w:rFonts w:cs="Arial"/>
                <w:sz w:val="20"/>
                <w:szCs w:val="20"/>
              </w:rPr>
            </w:pPr>
            <w:proofErr w:type="spellStart"/>
            <w:r w:rsidRPr="009178D0">
              <w:rPr>
                <w:rFonts w:cs="Arial"/>
                <w:sz w:val="20"/>
                <w:szCs w:val="20"/>
              </w:rPr>
              <w:t>Doripenem</w:t>
            </w:r>
            <w:proofErr w:type="spellEnd"/>
          </w:p>
        </w:tc>
        <w:tc>
          <w:tcPr>
            <w:tcW w:w="1799" w:type="dxa"/>
            <w:hideMark/>
          </w:tcPr>
          <w:p w14:paraId="54DFF69A" w14:textId="77777777" w:rsidR="00F606BC" w:rsidRPr="009178D0" w:rsidRDefault="00F606BC">
            <w:pPr>
              <w:rPr>
                <w:rFonts w:cs="Arial"/>
                <w:sz w:val="20"/>
                <w:szCs w:val="20"/>
              </w:rPr>
            </w:pPr>
            <w:proofErr w:type="spellStart"/>
            <w:r w:rsidRPr="009178D0">
              <w:rPr>
                <w:rFonts w:cs="Arial"/>
                <w:sz w:val="20"/>
                <w:szCs w:val="20"/>
              </w:rPr>
              <w:t>Doribax</w:t>
            </w:r>
            <w:proofErr w:type="spellEnd"/>
          </w:p>
        </w:tc>
        <w:tc>
          <w:tcPr>
            <w:tcW w:w="1890" w:type="dxa"/>
            <w:noWrap/>
            <w:hideMark/>
          </w:tcPr>
          <w:p w14:paraId="2F04571A" w14:textId="77777777" w:rsidR="00F606BC" w:rsidRPr="009178D0" w:rsidRDefault="00F606BC">
            <w:pPr>
              <w:rPr>
                <w:rFonts w:cs="Arial"/>
                <w:sz w:val="20"/>
                <w:szCs w:val="20"/>
              </w:rPr>
            </w:pPr>
          </w:p>
        </w:tc>
        <w:tc>
          <w:tcPr>
            <w:tcW w:w="1890" w:type="dxa"/>
            <w:noWrap/>
            <w:hideMark/>
          </w:tcPr>
          <w:p w14:paraId="548E3C2A" w14:textId="77777777" w:rsidR="00F606BC" w:rsidRPr="009178D0" w:rsidRDefault="00F606BC">
            <w:pPr>
              <w:rPr>
                <w:rFonts w:cs="Arial"/>
                <w:sz w:val="20"/>
                <w:szCs w:val="20"/>
              </w:rPr>
            </w:pPr>
          </w:p>
        </w:tc>
        <w:tc>
          <w:tcPr>
            <w:tcW w:w="1530" w:type="dxa"/>
            <w:noWrap/>
            <w:hideMark/>
          </w:tcPr>
          <w:p w14:paraId="6FA6E82E" w14:textId="77777777" w:rsidR="00F606BC" w:rsidRPr="009178D0" w:rsidRDefault="00F606BC">
            <w:pPr>
              <w:rPr>
                <w:rFonts w:cs="Arial"/>
                <w:sz w:val="20"/>
                <w:szCs w:val="20"/>
              </w:rPr>
            </w:pPr>
          </w:p>
        </w:tc>
        <w:tc>
          <w:tcPr>
            <w:tcW w:w="1620" w:type="dxa"/>
            <w:noWrap/>
            <w:hideMark/>
          </w:tcPr>
          <w:p w14:paraId="71260D24" w14:textId="77777777" w:rsidR="00F606BC" w:rsidRPr="009178D0" w:rsidRDefault="00F606BC">
            <w:pPr>
              <w:rPr>
                <w:rFonts w:cs="Arial"/>
                <w:sz w:val="20"/>
                <w:szCs w:val="20"/>
              </w:rPr>
            </w:pPr>
          </w:p>
        </w:tc>
      </w:tr>
      <w:tr w:rsidR="00B10A7E" w:rsidRPr="00F606BC" w14:paraId="1E97F044" w14:textId="77777777" w:rsidTr="00915128">
        <w:trPr>
          <w:trHeight w:val="552"/>
        </w:trPr>
        <w:tc>
          <w:tcPr>
            <w:tcW w:w="1885" w:type="dxa"/>
            <w:noWrap/>
            <w:hideMark/>
          </w:tcPr>
          <w:p w14:paraId="4BF010E8" w14:textId="77777777" w:rsidR="00F606BC" w:rsidRPr="009178D0" w:rsidRDefault="00F606BC">
            <w:pPr>
              <w:rPr>
                <w:rFonts w:cs="Arial"/>
                <w:sz w:val="20"/>
                <w:szCs w:val="20"/>
              </w:rPr>
            </w:pPr>
          </w:p>
        </w:tc>
        <w:tc>
          <w:tcPr>
            <w:tcW w:w="1890" w:type="dxa"/>
            <w:noWrap/>
            <w:hideMark/>
          </w:tcPr>
          <w:p w14:paraId="53C55FF5"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55FF2560" w14:textId="77777777" w:rsidR="00F606BC" w:rsidRPr="009178D0" w:rsidRDefault="00F606BC">
            <w:pPr>
              <w:rPr>
                <w:rFonts w:cs="Arial"/>
                <w:sz w:val="20"/>
                <w:szCs w:val="20"/>
              </w:rPr>
            </w:pPr>
            <w:r w:rsidRPr="009178D0">
              <w:rPr>
                <w:rFonts w:cs="Arial"/>
                <w:sz w:val="20"/>
                <w:szCs w:val="20"/>
              </w:rPr>
              <w:t>Doxycycline</w:t>
            </w:r>
          </w:p>
        </w:tc>
        <w:tc>
          <w:tcPr>
            <w:tcW w:w="1799" w:type="dxa"/>
            <w:hideMark/>
          </w:tcPr>
          <w:p w14:paraId="3849B8E1" w14:textId="77777777" w:rsidR="00F606BC" w:rsidRPr="009178D0" w:rsidRDefault="00F606BC">
            <w:pPr>
              <w:rPr>
                <w:rFonts w:cs="Arial"/>
                <w:sz w:val="20"/>
                <w:szCs w:val="20"/>
              </w:rPr>
            </w:pPr>
            <w:r w:rsidRPr="009178D0">
              <w:rPr>
                <w:rFonts w:cs="Arial"/>
                <w:sz w:val="20"/>
                <w:szCs w:val="20"/>
              </w:rPr>
              <w:t xml:space="preserve">Doxycycline </w:t>
            </w:r>
            <w:proofErr w:type="spellStart"/>
            <w:r w:rsidRPr="009178D0">
              <w:rPr>
                <w:rFonts w:cs="Arial"/>
                <w:sz w:val="20"/>
                <w:szCs w:val="20"/>
              </w:rPr>
              <w:t>hyclate</w:t>
            </w:r>
            <w:proofErr w:type="spellEnd"/>
            <w:r w:rsidRPr="009178D0">
              <w:rPr>
                <w:rFonts w:cs="Arial"/>
                <w:sz w:val="20"/>
                <w:szCs w:val="20"/>
              </w:rPr>
              <w:t xml:space="preserve">, Doxy, </w:t>
            </w:r>
            <w:proofErr w:type="spellStart"/>
            <w:r w:rsidRPr="009178D0">
              <w:rPr>
                <w:rFonts w:cs="Arial"/>
                <w:sz w:val="20"/>
                <w:szCs w:val="20"/>
              </w:rPr>
              <w:t>Vibra</w:t>
            </w:r>
            <w:proofErr w:type="spellEnd"/>
            <w:r w:rsidRPr="009178D0">
              <w:rPr>
                <w:rFonts w:cs="Arial"/>
                <w:sz w:val="20"/>
                <w:szCs w:val="20"/>
              </w:rPr>
              <w:t xml:space="preserve">, </w:t>
            </w:r>
            <w:proofErr w:type="spellStart"/>
            <w:r w:rsidRPr="009178D0">
              <w:rPr>
                <w:rFonts w:cs="Arial"/>
                <w:sz w:val="20"/>
                <w:szCs w:val="20"/>
              </w:rPr>
              <w:t>Vibramycin</w:t>
            </w:r>
            <w:proofErr w:type="spellEnd"/>
          </w:p>
        </w:tc>
        <w:tc>
          <w:tcPr>
            <w:tcW w:w="1890" w:type="dxa"/>
            <w:noWrap/>
            <w:hideMark/>
          </w:tcPr>
          <w:p w14:paraId="7F4663E1" w14:textId="77777777" w:rsidR="00F606BC" w:rsidRPr="009178D0" w:rsidRDefault="00F606BC">
            <w:pPr>
              <w:rPr>
                <w:rFonts w:cs="Arial"/>
                <w:sz w:val="20"/>
                <w:szCs w:val="20"/>
              </w:rPr>
            </w:pPr>
          </w:p>
        </w:tc>
        <w:tc>
          <w:tcPr>
            <w:tcW w:w="1890" w:type="dxa"/>
            <w:noWrap/>
            <w:hideMark/>
          </w:tcPr>
          <w:p w14:paraId="4A72AE44" w14:textId="77777777" w:rsidR="00F606BC" w:rsidRPr="009178D0" w:rsidRDefault="00F606BC">
            <w:pPr>
              <w:rPr>
                <w:rFonts w:cs="Arial"/>
                <w:sz w:val="20"/>
                <w:szCs w:val="20"/>
              </w:rPr>
            </w:pPr>
          </w:p>
        </w:tc>
        <w:tc>
          <w:tcPr>
            <w:tcW w:w="1530" w:type="dxa"/>
            <w:noWrap/>
            <w:hideMark/>
          </w:tcPr>
          <w:p w14:paraId="2C94468A" w14:textId="77777777" w:rsidR="00F606BC" w:rsidRPr="009178D0" w:rsidRDefault="00F606BC">
            <w:pPr>
              <w:rPr>
                <w:rFonts w:cs="Arial"/>
                <w:sz w:val="20"/>
                <w:szCs w:val="20"/>
              </w:rPr>
            </w:pPr>
          </w:p>
        </w:tc>
        <w:tc>
          <w:tcPr>
            <w:tcW w:w="1620" w:type="dxa"/>
            <w:noWrap/>
            <w:hideMark/>
          </w:tcPr>
          <w:p w14:paraId="4F62DBD2" w14:textId="77777777" w:rsidR="00F606BC" w:rsidRPr="009178D0" w:rsidRDefault="00F606BC">
            <w:pPr>
              <w:rPr>
                <w:rFonts w:cs="Arial"/>
                <w:sz w:val="20"/>
                <w:szCs w:val="20"/>
              </w:rPr>
            </w:pPr>
          </w:p>
        </w:tc>
      </w:tr>
      <w:tr w:rsidR="00B10A7E" w:rsidRPr="00F606BC" w14:paraId="7592F18F" w14:textId="77777777" w:rsidTr="00915128">
        <w:trPr>
          <w:trHeight w:val="288"/>
        </w:trPr>
        <w:tc>
          <w:tcPr>
            <w:tcW w:w="1885" w:type="dxa"/>
            <w:noWrap/>
            <w:hideMark/>
          </w:tcPr>
          <w:p w14:paraId="45E92689" w14:textId="77777777" w:rsidR="00F606BC" w:rsidRPr="009178D0" w:rsidRDefault="00F606BC">
            <w:pPr>
              <w:rPr>
                <w:rFonts w:cs="Arial"/>
                <w:sz w:val="20"/>
                <w:szCs w:val="20"/>
              </w:rPr>
            </w:pPr>
          </w:p>
        </w:tc>
        <w:tc>
          <w:tcPr>
            <w:tcW w:w="1890" w:type="dxa"/>
            <w:noWrap/>
            <w:hideMark/>
          </w:tcPr>
          <w:p w14:paraId="1C783AB3"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4B70B234" w14:textId="77777777" w:rsidR="00F606BC" w:rsidRPr="009178D0" w:rsidRDefault="00F606BC">
            <w:pPr>
              <w:rPr>
                <w:rFonts w:cs="Arial"/>
                <w:sz w:val="20"/>
                <w:szCs w:val="20"/>
              </w:rPr>
            </w:pPr>
            <w:proofErr w:type="spellStart"/>
            <w:r w:rsidRPr="009178D0">
              <w:rPr>
                <w:rFonts w:cs="Arial"/>
                <w:sz w:val="20"/>
                <w:szCs w:val="20"/>
              </w:rPr>
              <w:t>Eravacycline</w:t>
            </w:r>
            <w:proofErr w:type="spellEnd"/>
          </w:p>
        </w:tc>
        <w:tc>
          <w:tcPr>
            <w:tcW w:w="1799" w:type="dxa"/>
            <w:noWrap/>
            <w:hideMark/>
          </w:tcPr>
          <w:p w14:paraId="3D71522D" w14:textId="77777777" w:rsidR="00F606BC" w:rsidRPr="009178D0" w:rsidRDefault="00F606BC">
            <w:pPr>
              <w:rPr>
                <w:rFonts w:cs="Arial"/>
                <w:sz w:val="20"/>
                <w:szCs w:val="20"/>
              </w:rPr>
            </w:pPr>
            <w:r w:rsidRPr="009178D0">
              <w:rPr>
                <w:rFonts w:cs="Arial"/>
                <w:sz w:val="20"/>
                <w:szCs w:val="20"/>
              </w:rPr>
              <w:t> </w:t>
            </w:r>
          </w:p>
        </w:tc>
        <w:tc>
          <w:tcPr>
            <w:tcW w:w="1890" w:type="dxa"/>
            <w:noWrap/>
            <w:hideMark/>
          </w:tcPr>
          <w:p w14:paraId="3F6A67A8" w14:textId="77777777" w:rsidR="00F606BC" w:rsidRPr="009178D0" w:rsidRDefault="00F606BC">
            <w:pPr>
              <w:rPr>
                <w:rFonts w:cs="Arial"/>
                <w:sz w:val="20"/>
                <w:szCs w:val="20"/>
              </w:rPr>
            </w:pPr>
          </w:p>
        </w:tc>
        <w:tc>
          <w:tcPr>
            <w:tcW w:w="1890" w:type="dxa"/>
            <w:noWrap/>
            <w:hideMark/>
          </w:tcPr>
          <w:p w14:paraId="701773AA" w14:textId="77777777" w:rsidR="00F606BC" w:rsidRPr="009178D0" w:rsidRDefault="00F606BC">
            <w:pPr>
              <w:rPr>
                <w:rFonts w:cs="Arial"/>
                <w:sz w:val="20"/>
                <w:szCs w:val="20"/>
              </w:rPr>
            </w:pPr>
          </w:p>
        </w:tc>
        <w:tc>
          <w:tcPr>
            <w:tcW w:w="1530" w:type="dxa"/>
            <w:noWrap/>
            <w:hideMark/>
          </w:tcPr>
          <w:p w14:paraId="4EBD4694" w14:textId="77777777" w:rsidR="00F606BC" w:rsidRPr="009178D0" w:rsidRDefault="00F606BC">
            <w:pPr>
              <w:rPr>
                <w:rFonts w:cs="Arial"/>
                <w:sz w:val="20"/>
                <w:szCs w:val="20"/>
              </w:rPr>
            </w:pPr>
          </w:p>
        </w:tc>
        <w:tc>
          <w:tcPr>
            <w:tcW w:w="1620" w:type="dxa"/>
            <w:noWrap/>
            <w:hideMark/>
          </w:tcPr>
          <w:p w14:paraId="4E49857D" w14:textId="77777777" w:rsidR="00F606BC" w:rsidRPr="009178D0" w:rsidRDefault="00F606BC">
            <w:pPr>
              <w:rPr>
                <w:rFonts w:cs="Arial"/>
                <w:sz w:val="20"/>
                <w:szCs w:val="20"/>
              </w:rPr>
            </w:pPr>
          </w:p>
        </w:tc>
      </w:tr>
      <w:tr w:rsidR="00B10A7E" w:rsidRPr="00F606BC" w14:paraId="1C9CAB0B" w14:textId="77777777" w:rsidTr="00915128">
        <w:trPr>
          <w:trHeight w:val="828"/>
        </w:trPr>
        <w:tc>
          <w:tcPr>
            <w:tcW w:w="1885" w:type="dxa"/>
            <w:noWrap/>
            <w:hideMark/>
          </w:tcPr>
          <w:p w14:paraId="214A0365" w14:textId="77777777" w:rsidR="00F606BC" w:rsidRPr="009178D0" w:rsidRDefault="00F606BC">
            <w:pPr>
              <w:rPr>
                <w:rFonts w:cs="Arial"/>
                <w:sz w:val="20"/>
                <w:szCs w:val="20"/>
              </w:rPr>
            </w:pPr>
          </w:p>
        </w:tc>
        <w:tc>
          <w:tcPr>
            <w:tcW w:w="1890" w:type="dxa"/>
            <w:noWrap/>
            <w:hideMark/>
          </w:tcPr>
          <w:p w14:paraId="2F710AB1"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1EB3E957" w14:textId="77777777" w:rsidR="00F606BC" w:rsidRPr="009178D0" w:rsidRDefault="00F606BC">
            <w:pPr>
              <w:rPr>
                <w:rFonts w:cs="Arial"/>
                <w:sz w:val="20"/>
                <w:szCs w:val="20"/>
              </w:rPr>
            </w:pPr>
            <w:r w:rsidRPr="009178D0">
              <w:rPr>
                <w:rFonts w:cs="Arial"/>
                <w:sz w:val="20"/>
                <w:szCs w:val="20"/>
              </w:rPr>
              <w:t>Gentamicin</w:t>
            </w:r>
          </w:p>
        </w:tc>
        <w:tc>
          <w:tcPr>
            <w:tcW w:w="1799" w:type="dxa"/>
            <w:hideMark/>
          </w:tcPr>
          <w:p w14:paraId="770B7B8E" w14:textId="77777777" w:rsidR="00F606BC" w:rsidRPr="009178D0" w:rsidRDefault="00F606BC">
            <w:pPr>
              <w:rPr>
                <w:rFonts w:cs="Arial"/>
                <w:sz w:val="20"/>
                <w:szCs w:val="20"/>
              </w:rPr>
            </w:pPr>
            <w:r w:rsidRPr="009178D0">
              <w:rPr>
                <w:rFonts w:cs="Arial"/>
                <w:sz w:val="20"/>
                <w:szCs w:val="20"/>
              </w:rPr>
              <w:t xml:space="preserve">Gentamycin, </w:t>
            </w:r>
            <w:proofErr w:type="spellStart"/>
            <w:r w:rsidRPr="009178D0">
              <w:rPr>
                <w:rFonts w:cs="Arial"/>
                <w:sz w:val="20"/>
                <w:szCs w:val="20"/>
              </w:rPr>
              <w:t>Garamycin</w:t>
            </w:r>
            <w:proofErr w:type="spellEnd"/>
            <w:r w:rsidRPr="009178D0">
              <w:rPr>
                <w:rFonts w:cs="Arial"/>
                <w:sz w:val="20"/>
                <w:szCs w:val="20"/>
              </w:rPr>
              <w:t xml:space="preserve">, </w:t>
            </w:r>
            <w:proofErr w:type="spellStart"/>
            <w:r w:rsidRPr="009178D0">
              <w:rPr>
                <w:rFonts w:cs="Arial"/>
                <w:sz w:val="20"/>
                <w:szCs w:val="20"/>
              </w:rPr>
              <w:t>Cidomycin</w:t>
            </w:r>
            <w:proofErr w:type="spellEnd"/>
            <w:r w:rsidRPr="009178D0">
              <w:rPr>
                <w:rFonts w:cs="Arial"/>
                <w:sz w:val="20"/>
                <w:szCs w:val="20"/>
              </w:rPr>
              <w:t xml:space="preserve">, </w:t>
            </w:r>
            <w:proofErr w:type="spellStart"/>
            <w:r w:rsidRPr="009178D0">
              <w:rPr>
                <w:rFonts w:cs="Arial"/>
                <w:sz w:val="20"/>
                <w:szCs w:val="20"/>
              </w:rPr>
              <w:t>Septopal</w:t>
            </w:r>
            <w:proofErr w:type="spellEnd"/>
            <w:r w:rsidRPr="009178D0">
              <w:rPr>
                <w:rFonts w:cs="Arial"/>
                <w:sz w:val="20"/>
                <w:szCs w:val="20"/>
              </w:rPr>
              <w:t>, Gentamycin Synergy</w:t>
            </w:r>
          </w:p>
        </w:tc>
        <w:tc>
          <w:tcPr>
            <w:tcW w:w="1890" w:type="dxa"/>
            <w:noWrap/>
            <w:hideMark/>
          </w:tcPr>
          <w:p w14:paraId="0E8FE555" w14:textId="77777777" w:rsidR="00F606BC" w:rsidRPr="009178D0" w:rsidRDefault="00F606BC">
            <w:pPr>
              <w:rPr>
                <w:rFonts w:cs="Arial"/>
                <w:sz w:val="20"/>
                <w:szCs w:val="20"/>
              </w:rPr>
            </w:pPr>
          </w:p>
        </w:tc>
        <w:tc>
          <w:tcPr>
            <w:tcW w:w="1890" w:type="dxa"/>
            <w:noWrap/>
            <w:hideMark/>
          </w:tcPr>
          <w:p w14:paraId="415DB356" w14:textId="77777777" w:rsidR="00F606BC" w:rsidRPr="009178D0" w:rsidRDefault="00F606BC">
            <w:pPr>
              <w:rPr>
                <w:rFonts w:cs="Arial"/>
                <w:sz w:val="20"/>
                <w:szCs w:val="20"/>
              </w:rPr>
            </w:pPr>
          </w:p>
        </w:tc>
        <w:tc>
          <w:tcPr>
            <w:tcW w:w="1530" w:type="dxa"/>
            <w:noWrap/>
            <w:hideMark/>
          </w:tcPr>
          <w:p w14:paraId="42B5D2B1" w14:textId="77777777" w:rsidR="00F606BC" w:rsidRPr="009178D0" w:rsidRDefault="00F606BC">
            <w:pPr>
              <w:rPr>
                <w:rFonts w:cs="Arial"/>
                <w:sz w:val="20"/>
                <w:szCs w:val="20"/>
              </w:rPr>
            </w:pPr>
          </w:p>
        </w:tc>
        <w:tc>
          <w:tcPr>
            <w:tcW w:w="1620" w:type="dxa"/>
            <w:noWrap/>
            <w:hideMark/>
          </w:tcPr>
          <w:p w14:paraId="5460B215" w14:textId="77777777" w:rsidR="00F606BC" w:rsidRPr="009178D0" w:rsidRDefault="00F606BC">
            <w:pPr>
              <w:rPr>
                <w:rFonts w:cs="Arial"/>
                <w:sz w:val="20"/>
                <w:szCs w:val="20"/>
              </w:rPr>
            </w:pPr>
          </w:p>
        </w:tc>
      </w:tr>
      <w:tr w:rsidR="00B10A7E" w:rsidRPr="00F606BC" w14:paraId="12F8EE0A" w14:textId="77777777" w:rsidTr="00915128">
        <w:trPr>
          <w:trHeight w:val="288"/>
        </w:trPr>
        <w:tc>
          <w:tcPr>
            <w:tcW w:w="1885" w:type="dxa"/>
            <w:noWrap/>
            <w:hideMark/>
          </w:tcPr>
          <w:p w14:paraId="415A8F8D" w14:textId="77777777" w:rsidR="00F606BC" w:rsidRPr="009178D0" w:rsidRDefault="00F606BC">
            <w:pPr>
              <w:rPr>
                <w:rFonts w:cs="Arial"/>
                <w:sz w:val="20"/>
                <w:szCs w:val="20"/>
              </w:rPr>
            </w:pPr>
          </w:p>
        </w:tc>
        <w:tc>
          <w:tcPr>
            <w:tcW w:w="1890" w:type="dxa"/>
            <w:noWrap/>
            <w:hideMark/>
          </w:tcPr>
          <w:p w14:paraId="4A41E3CC"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5CCCDF33" w14:textId="77777777" w:rsidR="00F606BC" w:rsidRPr="009178D0" w:rsidRDefault="00F606BC">
            <w:pPr>
              <w:rPr>
                <w:rFonts w:cs="Arial"/>
                <w:sz w:val="20"/>
                <w:szCs w:val="20"/>
              </w:rPr>
            </w:pPr>
            <w:r w:rsidRPr="009178D0">
              <w:rPr>
                <w:rFonts w:cs="Arial"/>
                <w:sz w:val="20"/>
                <w:szCs w:val="20"/>
              </w:rPr>
              <w:t>Imipenem/</w:t>
            </w:r>
            <w:proofErr w:type="spellStart"/>
            <w:r w:rsidRPr="009178D0">
              <w:rPr>
                <w:rFonts w:cs="Arial"/>
                <w:sz w:val="20"/>
                <w:szCs w:val="20"/>
              </w:rPr>
              <w:t>cilastatin</w:t>
            </w:r>
            <w:proofErr w:type="spellEnd"/>
          </w:p>
        </w:tc>
        <w:tc>
          <w:tcPr>
            <w:tcW w:w="1799" w:type="dxa"/>
            <w:hideMark/>
          </w:tcPr>
          <w:p w14:paraId="3A9B9C6B" w14:textId="77777777" w:rsidR="00F606BC" w:rsidRPr="009178D0" w:rsidRDefault="00F606BC">
            <w:pPr>
              <w:rPr>
                <w:rFonts w:cs="Arial"/>
                <w:sz w:val="20"/>
                <w:szCs w:val="20"/>
              </w:rPr>
            </w:pPr>
            <w:proofErr w:type="spellStart"/>
            <w:r w:rsidRPr="009178D0">
              <w:rPr>
                <w:rFonts w:cs="Arial"/>
                <w:sz w:val="20"/>
                <w:szCs w:val="20"/>
              </w:rPr>
              <w:t>Primaxin</w:t>
            </w:r>
            <w:proofErr w:type="spellEnd"/>
          </w:p>
        </w:tc>
        <w:tc>
          <w:tcPr>
            <w:tcW w:w="1890" w:type="dxa"/>
            <w:noWrap/>
            <w:hideMark/>
          </w:tcPr>
          <w:p w14:paraId="7ECC7621" w14:textId="77777777" w:rsidR="00F606BC" w:rsidRPr="009178D0" w:rsidRDefault="00F606BC">
            <w:pPr>
              <w:rPr>
                <w:rFonts w:cs="Arial"/>
                <w:sz w:val="20"/>
                <w:szCs w:val="20"/>
              </w:rPr>
            </w:pPr>
          </w:p>
        </w:tc>
        <w:tc>
          <w:tcPr>
            <w:tcW w:w="1890" w:type="dxa"/>
            <w:noWrap/>
            <w:hideMark/>
          </w:tcPr>
          <w:p w14:paraId="04DCD836" w14:textId="77777777" w:rsidR="00F606BC" w:rsidRPr="009178D0" w:rsidRDefault="00F606BC">
            <w:pPr>
              <w:rPr>
                <w:rFonts w:cs="Arial"/>
                <w:sz w:val="20"/>
                <w:szCs w:val="20"/>
              </w:rPr>
            </w:pPr>
          </w:p>
        </w:tc>
        <w:tc>
          <w:tcPr>
            <w:tcW w:w="1530" w:type="dxa"/>
            <w:noWrap/>
            <w:hideMark/>
          </w:tcPr>
          <w:p w14:paraId="275F4BC9" w14:textId="77777777" w:rsidR="00F606BC" w:rsidRPr="009178D0" w:rsidRDefault="00F606BC">
            <w:pPr>
              <w:rPr>
                <w:rFonts w:cs="Arial"/>
                <w:sz w:val="20"/>
                <w:szCs w:val="20"/>
              </w:rPr>
            </w:pPr>
          </w:p>
        </w:tc>
        <w:tc>
          <w:tcPr>
            <w:tcW w:w="1620" w:type="dxa"/>
            <w:noWrap/>
            <w:hideMark/>
          </w:tcPr>
          <w:p w14:paraId="0DEB3264" w14:textId="77777777" w:rsidR="00F606BC" w:rsidRPr="009178D0" w:rsidRDefault="00F606BC">
            <w:pPr>
              <w:rPr>
                <w:rFonts w:cs="Arial"/>
                <w:sz w:val="20"/>
                <w:szCs w:val="20"/>
              </w:rPr>
            </w:pPr>
          </w:p>
        </w:tc>
      </w:tr>
      <w:tr w:rsidR="00B10A7E" w:rsidRPr="00F606BC" w14:paraId="143366C8" w14:textId="77777777" w:rsidTr="00915128">
        <w:trPr>
          <w:trHeight w:val="288"/>
        </w:trPr>
        <w:tc>
          <w:tcPr>
            <w:tcW w:w="1885" w:type="dxa"/>
            <w:noWrap/>
            <w:hideMark/>
          </w:tcPr>
          <w:p w14:paraId="72D0A296" w14:textId="77777777" w:rsidR="00F606BC" w:rsidRPr="009178D0" w:rsidRDefault="00F606BC">
            <w:pPr>
              <w:rPr>
                <w:rFonts w:cs="Arial"/>
                <w:sz w:val="20"/>
                <w:szCs w:val="20"/>
              </w:rPr>
            </w:pPr>
          </w:p>
        </w:tc>
        <w:tc>
          <w:tcPr>
            <w:tcW w:w="1890" w:type="dxa"/>
            <w:noWrap/>
            <w:hideMark/>
          </w:tcPr>
          <w:p w14:paraId="48FA5418"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46790372" w14:textId="77777777" w:rsidR="00F606BC" w:rsidRPr="009178D0" w:rsidRDefault="00F606BC">
            <w:pPr>
              <w:rPr>
                <w:rFonts w:cs="Arial"/>
                <w:sz w:val="20"/>
                <w:szCs w:val="20"/>
              </w:rPr>
            </w:pPr>
            <w:r w:rsidRPr="009178D0">
              <w:rPr>
                <w:rFonts w:cs="Arial"/>
                <w:sz w:val="20"/>
                <w:szCs w:val="20"/>
              </w:rPr>
              <w:t xml:space="preserve">Linezolid </w:t>
            </w:r>
          </w:p>
        </w:tc>
        <w:tc>
          <w:tcPr>
            <w:tcW w:w="1799" w:type="dxa"/>
            <w:hideMark/>
          </w:tcPr>
          <w:p w14:paraId="2B860761" w14:textId="77777777" w:rsidR="00F606BC" w:rsidRPr="009178D0" w:rsidRDefault="00F606BC">
            <w:pPr>
              <w:rPr>
                <w:rFonts w:cs="Arial"/>
                <w:sz w:val="20"/>
                <w:szCs w:val="20"/>
              </w:rPr>
            </w:pPr>
            <w:proofErr w:type="spellStart"/>
            <w:r w:rsidRPr="009178D0">
              <w:rPr>
                <w:rFonts w:cs="Arial"/>
                <w:sz w:val="20"/>
                <w:szCs w:val="20"/>
              </w:rPr>
              <w:t>Zyvox</w:t>
            </w:r>
            <w:proofErr w:type="spellEnd"/>
          </w:p>
        </w:tc>
        <w:tc>
          <w:tcPr>
            <w:tcW w:w="1890" w:type="dxa"/>
            <w:noWrap/>
            <w:hideMark/>
          </w:tcPr>
          <w:p w14:paraId="4FD5DB58" w14:textId="77777777" w:rsidR="00F606BC" w:rsidRPr="009178D0" w:rsidRDefault="00F606BC">
            <w:pPr>
              <w:rPr>
                <w:rFonts w:cs="Arial"/>
                <w:sz w:val="20"/>
                <w:szCs w:val="20"/>
              </w:rPr>
            </w:pPr>
          </w:p>
        </w:tc>
        <w:tc>
          <w:tcPr>
            <w:tcW w:w="1890" w:type="dxa"/>
            <w:noWrap/>
            <w:hideMark/>
          </w:tcPr>
          <w:p w14:paraId="5A4CA745" w14:textId="77777777" w:rsidR="00F606BC" w:rsidRPr="009178D0" w:rsidRDefault="00F606BC">
            <w:pPr>
              <w:rPr>
                <w:rFonts w:cs="Arial"/>
                <w:sz w:val="20"/>
                <w:szCs w:val="20"/>
              </w:rPr>
            </w:pPr>
          </w:p>
        </w:tc>
        <w:tc>
          <w:tcPr>
            <w:tcW w:w="1530" w:type="dxa"/>
            <w:noWrap/>
            <w:hideMark/>
          </w:tcPr>
          <w:p w14:paraId="49B9D5E9" w14:textId="77777777" w:rsidR="00F606BC" w:rsidRPr="009178D0" w:rsidRDefault="00F606BC">
            <w:pPr>
              <w:rPr>
                <w:rFonts w:cs="Arial"/>
                <w:sz w:val="20"/>
                <w:szCs w:val="20"/>
              </w:rPr>
            </w:pPr>
          </w:p>
        </w:tc>
        <w:tc>
          <w:tcPr>
            <w:tcW w:w="1620" w:type="dxa"/>
            <w:noWrap/>
            <w:hideMark/>
          </w:tcPr>
          <w:p w14:paraId="79502F4C" w14:textId="77777777" w:rsidR="00F606BC" w:rsidRPr="009178D0" w:rsidRDefault="00F606BC">
            <w:pPr>
              <w:rPr>
                <w:rFonts w:cs="Arial"/>
                <w:sz w:val="20"/>
                <w:szCs w:val="20"/>
              </w:rPr>
            </w:pPr>
          </w:p>
        </w:tc>
      </w:tr>
      <w:tr w:rsidR="00B10A7E" w:rsidRPr="00F606BC" w14:paraId="3F5AD04C" w14:textId="77777777" w:rsidTr="00915128">
        <w:trPr>
          <w:trHeight w:val="288"/>
        </w:trPr>
        <w:tc>
          <w:tcPr>
            <w:tcW w:w="1885" w:type="dxa"/>
            <w:noWrap/>
            <w:hideMark/>
          </w:tcPr>
          <w:p w14:paraId="12FAB6FD" w14:textId="77777777" w:rsidR="00F606BC" w:rsidRPr="009178D0" w:rsidRDefault="00F606BC">
            <w:pPr>
              <w:rPr>
                <w:rFonts w:cs="Arial"/>
                <w:sz w:val="20"/>
                <w:szCs w:val="20"/>
              </w:rPr>
            </w:pPr>
          </w:p>
        </w:tc>
        <w:tc>
          <w:tcPr>
            <w:tcW w:w="1890" w:type="dxa"/>
            <w:noWrap/>
            <w:hideMark/>
          </w:tcPr>
          <w:p w14:paraId="374AC175"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49EC6C29" w14:textId="77777777" w:rsidR="00F606BC" w:rsidRPr="009178D0" w:rsidRDefault="00F606BC">
            <w:pPr>
              <w:rPr>
                <w:rFonts w:cs="Arial"/>
                <w:sz w:val="20"/>
                <w:szCs w:val="20"/>
              </w:rPr>
            </w:pPr>
            <w:r w:rsidRPr="009178D0">
              <w:rPr>
                <w:rFonts w:cs="Arial"/>
                <w:sz w:val="20"/>
                <w:szCs w:val="20"/>
              </w:rPr>
              <w:t>Meropenem/</w:t>
            </w:r>
            <w:proofErr w:type="spellStart"/>
            <w:r w:rsidRPr="009178D0">
              <w:rPr>
                <w:rFonts w:cs="Arial"/>
                <w:sz w:val="20"/>
                <w:szCs w:val="20"/>
              </w:rPr>
              <w:t>vaborbactram</w:t>
            </w:r>
            <w:proofErr w:type="spellEnd"/>
          </w:p>
        </w:tc>
        <w:tc>
          <w:tcPr>
            <w:tcW w:w="1799" w:type="dxa"/>
            <w:hideMark/>
          </w:tcPr>
          <w:p w14:paraId="0DFE45C0" w14:textId="77777777" w:rsidR="00F606BC" w:rsidRPr="009178D0" w:rsidRDefault="00F606BC">
            <w:pPr>
              <w:rPr>
                <w:rFonts w:cs="Arial"/>
                <w:sz w:val="20"/>
                <w:szCs w:val="20"/>
              </w:rPr>
            </w:pPr>
            <w:proofErr w:type="spellStart"/>
            <w:r w:rsidRPr="009178D0">
              <w:rPr>
                <w:rFonts w:cs="Arial"/>
                <w:sz w:val="20"/>
                <w:szCs w:val="20"/>
              </w:rPr>
              <w:t>Vabomere</w:t>
            </w:r>
            <w:proofErr w:type="spellEnd"/>
          </w:p>
        </w:tc>
        <w:tc>
          <w:tcPr>
            <w:tcW w:w="1890" w:type="dxa"/>
            <w:noWrap/>
            <w:hideMark/>
          </w:tcPr>
          <w:p w14:paraId="6EC69CF5" w14:textId="77777777" w:rsidR="00F606BC" w:rsidRPr="009178D0" w:rsidRDefault="00F606BC">
            <w:pPr>
              <w:rPr>
                <w:rFonts w:cs="Arial"/>
                <w:sz w:val="20"/>
                <w:szCs w:val="20"/>
              </w:rPr>
            </w:pPr>
          </w:p>
        </w:tc>
        <w:tc>
          <w:tcPr>
            <w:tcW w:w="1890" w:type="dxa"/>
            <w:noWrap/>
            <w:hideMark/>
          </w:tcPr>
          <w:p w14:paraId="54804469" w14:textId="77777777" w:rsidR="00F606BC" w:rsidRPr="009178D0" w:rsidRDefault="00F606BC">
            <w:pPr>
              <w:rPr>
                <w:rFonts w:cs="Arial"/>
                <w:sz w:val="20"/>
                <w:szCs w:val="20"/>
              </w:rPr>
            </w:pPr>
          </w:p>
        </w:tc>
        <w:tc>
          <w:tcPr>
            <w:tcW w:w="1530" w:type="dxa"/>
            <w:noWrap/>
            <w:hideMark/>
          </w:tcPr>
          <w:p w14:paraId="57CD4F14" w14:textId="77777777" w:rsidR="00F606BC" w:rsidRPr="009178D0" w:rsidRDefault="00F606BC">
            <w:pPr>
              <w:rPr>
                <w:rFonts w:cs="Arial"/>
                <w:sz w:val="20"/>
                <w:szCs w:val="20"/>
              </w:rPr>
            </w:pPr>
          </w:p>
        </w:tc>
        <w:tc>
          <w:tcPr>
            <w:tcW w:w="1620" w:type="dxa"/>
            <w:noWrap/>
            <w:hideMark/>
          </w:tcPr>
          <w:p w14:paraId="7A5F916C" w14:textId="77777777" w:rsidR="00F606BC" w:rsidRPr="009178D0" w:rsidRDefault="00F606BC">
            <w:pPr>
              <w:rPr>
                <w:rFonts w:cs="Arial"/>
                <w:sz w:val="20"/>
                <w:szCs w:val="20"/>
              </w:rPr>
            </w:pPr>
          </w:p>
        </w:tc>
      </w:tr>
      <w:tr w:rsidR="00B10A7E" w:rsidRPr="00F606BC" w14:paraId="37C04859" w14:textId="77777777" w:rsidTr="00915128">
        <w:trPr>
          <w:trHeight w:val="288"/>
        </w:trPr>
        <w:tc>
          <w:tcPr>
            <w:tcW w:w="1885" w:type="dxa"/>
            <w:noWrap/>
            <w:hideMark/>
          </w:tcPr>
          <w:p w14:paraId="19F5DB63" w14:textId="77777777" w:rsidR="00F606BC" w:rsidRPr="009178D0" w:rsidRDefault="00F606BC">
            <w:pPr>
              <w:rPr>
                <w:rFonts w:cs="Arial"/>
                <w:sz w:val="20"/>
                <w:szCs w:val="20"/>
              </w:rPr>
            </w:pPr>
          </w:p>
        </w:tc>
        <w:tc>
          <w:tcPr>
            <w:tcW w:w="1890" w:type="dxa"/>
            <w:noWrap/>
            <w:hideMark/>
          </w:tcPr>
          <w:p w14:paraId="07EE2E66"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5776B2D4" w14:textId="77777777" w:rsidR="00F606BC" w:rsidRPr="009178D0" w:rsidRDefault="00F606BC">
            <w:pPr>
              <w:rPr>
                <w:rFonts w:cs="Arial"/>
                <w:sz w:val="20"/>
                <w:szCs w:val="20"/>
              </w:rPr>
            </w:pPr>
            <w:r w:rsidRPr="009178D0">
              <w:rPr>
                <w:rFonts w:cs="Arial"/>
                <w:sz w:val="20"/>
                <w:szCs w:val="20"/>
              </w:rPr>
              <w:t>Moxifloxacin</w:t>
            </w:r>
          </w:p>
        </w:tc>
        <w:tc>
          <w:tcPr>
            <w:tcW w:w="1799" w:type="dxa"/>
            <w:hideMark/>
          </w:tcPr>
          <w:p w14:paraId="7FB75C8F" w14:textId="77777777" w:rsidR="00F606BC" w:rsidRPr="009178D0" w:rsidRDefault="00F606BC">
            <w:pPr>
              <w:rPr>
                <w:rFonts w:cs="Arial"/>
                <w:sz w:val="20"/>
                <w:szCs w:val="20"/>
              </w:rPr>
            </w:pPr>
            <w:proofErr w:type="spellStart"/>
            <w:r w:rsidRPr="009178D0">
              <w:rPr>
                <w:rFonts w:cs="Arial"/>
                <w:sz w:val="20"/>
                <w:szCs w:val="20"/>
              </w:rPr>
              <w:t>Avelox</w:t>
            </w:r>
            <w:proofErr w:type="spellEnd"/>
          </w:p>
        </w:tc>
        <w:tc>
          <w:tcPr>
            <w:tcW w:w="1890" w:type="dxa"/>
            <w:noWrap/>
            <w:hideMark/>
          </w:tcPr>
          <w:p w14:paraId="3866C938" w14:textId="77777777" w:rsidR="00F606BC" w:rsidRPr="009178D0" w:rsidRDefault="00F606BC">
            <w:pPr>
              <w:rPr>
                <w:rFonts w:cs="Arial"/>
                <w:sz w:val="20"/>
                <w:szCs w:val="20"/>
              </w:rPr>
            </w:pPr>
          </w:p>
        </w:tc>
        <w:tc>
          <w:tcPr>
            <w:tcW w:w="1890" w:type="dxa"/>
            <w:noWrap/>
            <w:hideMark/>
          </w:tcPr>
          <w:p w14:paraId="5A423924" w14:textId="77777777" w:rsidR="00F606BC" w:rsidRPr="009178D0" w:rsidRDefault="00F606BC">
            <w:pPr>
              <w:rPr>
                <w:rFonts w:cs="Arial"/>
                <w:sz w:val="20"/>
                <w:szCs w:val="20"/>
              </w:rPr>
            </w:pPr>
          </w:p>
        </w:tc>
        <w:tc>
          <w:tcPr>
            <w:tcW w:w="1530" w:type="dxa"/>
            <w:noWrap/>
            <w:hideMark/>
          </w:tcPr>
          <w:p w14:paraId="39970514" w14:textId="77777777" w:rsidR="00F606BC" w:rsidRPr="009178D0" w:rsidRDefault="00F606BC">
            <w:pPr>
              <w:rPr>
                <w:rFonts w:cs="Arial"/>
                <w:sz w:val="20"/>
                <w:szCs w:val="20"/>
              </w:rPr>
            </w:pPr>
          </w:p>
        </w:tc>
        <w:tc>
          <w:tcPr>
            <w:tcW w:w="1620" w:type="dxa"/>
            <w:noWrap/>
            <w:hideMark/>
          </w:tcPr>
          <w:p w14:paraId="71AA926D" w14:textId="77777777" w:rsidR="00F606BC" w:rsidRPr="009178D0" w:rsidRDefault="00F606BC">
            <w:pPr>
              <w:rPr>
                <w:rFonts w:cs="Arial"/>
                <w:sz w:val="20"/>
                <w:szCs w:val="20"/>
              </w:rPr>
            </w:pPr>
          </w:p>
        </w:tc>
      </w:tr>
      <w:tr w:rsidR="00B10A7E" w:rsidRPr="00F606BC" w14:paraId="72077258" w14:textId="77777777" w:rsidTr="00915128">
        <w:trPr>
          <w:trHeight w:val="288"/>
        </w:trPr>
        <w:tc>
          <w:tcPr>
            <w:tcW w:w="1885" w:type="dxa"/>
            <w:noWrap/>
            <w:hideMark/>
          </w:tcPr>
          <w:p w14:paraId="66A455C5" w14:textId="77777777" w:rsidR="00F606BC" w:rsidRPr="009178D0" w:rsidRDefault="00F606BC">
            <w:pPr>
              <w:rPr>
                <w:rFonts w:cs="Arial"/>
                <w:sz w:val="20"/>
                <w:szCs w:val="20"/>
              </w:rPr>
            </w:pPr>
          </w:p>
        </w:tc>
        <w:tc>
          <w:tcPr>
            <w:tcW w:w="1890" w:type="dxa"/>
            <w:noWrap/>
            <w:hideMark/>
          </w:tcPr>
          <w:p w14:paraId="497B65CB"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1DFD06EC" w14:textId="77777777" w:rsidR="00F606BC" w:rsidRPr="009178D0" w:rsidRDefault="00F606BC">
            <w:pPr>
              <w:rPr>
                <w:rFonts w:cs="Arial"/>
                <w:sz w:val="20"/>
                <w:szCs w:val="20"/>
              </w:rPr>
            </w:pPr>
            <w:r w:rsidRPr="009178D0">
              <w:rPr>
                <w:rFonts w:cs="Arial"/>
                <w:sz w:val="20"/>
                <w:szCs w:val="20"/>
              </w:rPr>
              <w:t>Nafcillin</w:t>
            </w:r>
          </w:p>
        </w:tc>
        <w:tc>
          <w:tcPr>
            <w:tcW w:w="1799" w:type="dxa"/>
            <w:hideMark/>
          </w:tcPr>
          <w:p w14:paraId="0EFF4DF9" w14:textId="77777777" w:rsidR="00F606BC" w:rsidRPr="009178D0" w:rsidRDefault="00F606BC">
            <w:pPr>
              <w:rPr>
                <w:rFonts w:cs="Arial"/>
                <w:sz w:val="20"/>
                <w:szCs w:val="20"/>
              </w:rPr>
            </w:pPr>
            <w:proofErr w:type="spellStart"/>
            <w:r w:rsidRPr="009178D0">
              <w:rPr>
                <w:rFonts w:cs="Arial"/>
                <w:sz w:val="20"/>
                <w:szCs w:val="20"/>
              </w:rPr>
              <w:t>Unipen</w:t>
            </w:r>
            <w:proofErr w:type="spellEnd"/>
            <w:r w:rsidRPr="009178D0">
              <w:rPr>
                <w:rFonts w:cs="Arial"/>
                <w:sz w:val="20"/>
                <w:szCs w:val="20"/>
              </w:rPr>
              <w:t xml:space="preserve">, </w:t>
            </w:r>
            <w:proofErr w:type="spellStart"/>
            <w:r w:rsidRPr="009178D0">
              <w:rPr>
                <w:rFonts w:cs="Arial"/>
                <w:sz w:val="20"/>
                <w:szCs w:val="20"/>
              </w:rPr>
              <w:t>Nafcil</w:t>
            </w:r>
            <w:proofErr w:type="spellEnd"/>
            <w:r w:rsidRPr="009178D0">
              <w:rPr>
                <w:rFonts w:cs="Arial"/>
                <w:sz w:val="20"/>
                <w:szCs w:val="20"/>
              </w:rPr>
              <w:t xml:space="preserve">, </w:t>
            </w:r>
            <w:proofErr w:type="spellStart"/>
            <w:r w:rsidRPr="009178D0">
              <w:rPr>
                <w:rFonts w:cs="Arial"/>
                <w:sz w:val="20"/>
                <w:szCs w:val="20"/>
              </w:rPr>
              <w:t>Nallpen</w:t>
            </w:r>
            <w:proofErr w:type="spellEnd"/>
          </w:p>
        </w:tc>
        <w:tc>
          <w:tcPr>
            <w:tcW w:w="1890" w:type="dxa"/>
            <w:noWrap/>
            <w:hideMark/>
          </w:tcPr>
          <w:p w14:paraId="735F12CF" w14:textId="77777777" w:rsidR="00F606BC" w:rsidRPr="009178D0" w:rsidRDefault="00F606BC">
            <w:pPr>
              <w:rPr>
                <w:rFonts w:cs="Arial"/>
                <w:sz w:val="20"/>
                <w:szCs w:val="20"/>
              </w:rPr>
            </w:pPr>
          </w:p>
        </w:tc>
        <w:tc>
          <w:tcPr>
            <w:tcW w:w="1890" w:type="dxa"/>
            <w:noWrap/>
            <w:hideMark/>
          </w:tcPr>
          <w:p w14:paraId="216188BC" w14:textId="77777777" w:rsidR="00F606BC" w:rsidRPr="009178D0" w:rsidRDefault="00F606BC">
            <w:pPr>
              <w:rPr>
                <w:rFonts w:cs="Arial"/>
                <w:sz w:val="20"/>
                <w:szCs w:val="20"/>
              </w:rPr>
            </w:pPr>
          </w:p>
        </w:tc>
        <w:tc>
          <w:tcPr>
            <w:tcW w:w="1530" w:type="dxa"/>
            <w:noWrap/>
            <w:hideMark/>
          </w:tcPr>
          <w:p w14:paraId="35C75FC0" w14:textId="77777777" w:rsidR="00F606BC" w:rsidRPr="009178D0" w:rsidRDefault="00F606BC">
            <w:pPr>
              <w:rPr>
                <w:rFonts w:cs="Arial"/>
                <w:sz w:val="20"/>
                <w:szCs w:val="20"/>
              </w:rPr>
            </w:pPr>
          </w:p>
        </w:tc>
        <w:tc>
          <w:tcPr>
            <w:tcW w:w="1620" w:type="dxa"/>
            <w:noWrap/>
            <w:hideMark/>
          </w:tcPr>
          <w:p w14:paraId="3CB11F38" w14:textId="77777777" w:rsidR="00F606BC" w:rsidRPr="009178D0" w:rsidRDefault="00F606BC">
            <w:pPr>
              <w:rPr>
                <w:rFonts w:cs="Arial"/>
                <w:sz w:val="20"/>
                <w:szCs w:val="20"/>
              </w:rPr>
            </w:pPr>
          </w:p>
        </w:tc>
      </w:tr>
      <w:tr w:rsidR="00B10A7E" w:rsidRPr="00F606BC" w14:paraId="7BC12A7E" w14:textId="77777777" w:rsidTr="00915128">
        <w:trPr>
          <w:trHeight w:val="288"/>
        </w:trPr>
        <w:tc>
          <w:tcPr>
            <w:tcW w:w="1885" w:type="dxa"/>
            <w:noWrap/>
            <w:hideMark/>
          </w:tcPr>
          <w:p w14:paraId="22BA935B" w14:textId="77777777" w:rsidR="00F606BC" w:rsidRPr="009178D0" w:rsidRDefault="00F606BC">
            <w:pPr>
              <w:rPr>
                <w:rFonts w:cs="Arial"/>
                <w:sz w:val="20"/>
                <w:szCs w:val="20"/>
              </w:rPr>
            </w:pPr>
          </w:p>
        </w:tc>
        <w:tc>
          <w:tcPr>
            <w:tcW w:w="1890" w:type="dxa"/>
            <w:noWrap/>
            <w:hideMark/>
          </w:tcPr>
          <w:p w14:paraId="6AB3C76C"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0DF67160" w14:textId="77777777" w:rsidR="00F606BC" w:rsidRPr="009178D0" w:rsidRDefault="00F606BC">
            <w:pPr>
              <w:rPr>
                <w:rFonts w:cs="Arial"/>
                <w:sz w:val="20"/>
                <w:szCs w:val="20"/>
              </w:rPr>
            </w:pPr>
            <w:proofErr w:type="spellStart"/>
            <w:r w:rsidRPr="009178D0">
              <w:rPr>
                <w:rFonts w:cs="Arial"/>
                <w:sz w:val="20"/>
                <w:szCs w:val="20"/>
              </w:rPr>
              <w:t>Oritavancin</w:t>
            </w:r>
            <w:proofErr w:type="spellEnd"/>
          </w:p>
        </w:tc>
        <w:tc>
          <w:tcPr>
            <w:tcW w:w="1799" w:type="dxa"/>
            <w:hideMark/>
          </w:tcPr>
          <w:p w14:paraId="42681C02" w14:textId="77777777" w:rsidR="00F606BC" w:rsidRPr="009178D0" w:rsidRDefault="00F606BC">
            <w:pPr>
              <w:rPr>
                <w:rFonts w:cs="Arial"/>
                <w:sz w:val="20"/>
                <w:szCs w:val="20"/>
              </w:rPr>
            </w:pPr>
            <w:r w:rsidRPr="009178D0">
              <w:rPr>
                <w:rFonts w:cs="Arial"/>
                <w:sz w:val="20"/>
                <w:szCs w:val="20"/>
              </w:rPr>
              <w:t>LY333328</w:t>
            </w:r>
          </w:p>
        </w:tc>
        <w:tc>
          <w:tcPr>
            <w:tcW w:w="1890" w:type="dxa"/>
            <w:noWrap/>
            <w:hideMark/>
          </w:tcPr>
          <w:p w14:paraId="2F07520B" w14:textId="77777777" w:rsidR="00F606BC" w:rsidRPr="009178D0" w:rsidRDefault="00F606BC">
            <w:pPr>
              <w:rPr>
                <w:rFonts w:cs="Arial"/>
                <w:sz w:val="20"/>
                <w:szCs w:val="20"/>
              </w:rPr>
            </w:pPr>
          </w:p>
        </w:tc>
        <w:tc>
          <w:tcPr>
            <w:tcW w:w="1890" w:type="dxa"/>
            <w:noWrap/>
            <w:hideMark/>
          </w:tcPr>
          <w:p w14:paraId="46E33741" w14:textId="77777777" w:rsidR="00F606BC" w:rsidRPr="009178D0" w:rsidRDefault="00F606BC">
            <w:pPr>
              <w:rPr>
                <w:rFonts w:cs="Arial"/>
                <w:sz w:val="20"/>
                <w:szCs w:val="20"/>
              </w:rPr>
            </w:pPr>
          </w:p>
        </w:tc>
        <w:tc>
          <w:tcPr>
            <w:tcW w:w="1530" w:type="dxa"/>
            <w:noWrap/>
            <w:hideMark/>
          </w:tcPr>
          <w:p w14:paraId="15CB887D" w14:textId="77777777" w:rsidR="00F606BC" w:rsidRPr="009178D0" w:rsidRDefault="00F606BC">
            <w:pPr>
              <w:rPr>
                <w:rFonts w:cs="Arial"/>
                <w:sz w:val="20"/>
                <w:szCs w:val="20"/>
              </w:rPr>
            </w:pPr>
          </w:p>
        </w:tc>
        <w:tc>
          <w:tcPr>
            <w:tcW w:w="1620" w:type="dxa"/>
            <w:noWrap/>
            <w:hideMark/>
          </w:tcPr>
          <w:p w14:paraId="3C3FEF03" w14:textId="77777777" w:rsidR="00F606BC" w:rsidRPr="009178D0" w:rsidRDefault="00F606BC">
            <w:pPr>
              <w:rPr>
                <w:rFonts w:cs="Arial"/>
                <w:sz w:val="20"/>
                <w:szCs w:val="20"/>
              </w:rPr>
            </w:pPr>
          </w:p>
        </w:tc>
      </w:tr>
      <w:tr w:rsidR="00B10A7E" w:rsidRPr="00F606BC" w14:paraId="27DA5F37" w14:textId="77777777" w:rsidTr="00915128">
        <w:trPr>
          <w:trHeight w:val="288"/>
        </w:trPr>
        <w:tc>
          <w:tcPr>
            <w:tcW w:w="1885" w:type="dxa"/>
            <w:noWrap/>
            <w:hideMark/>
          </w:tcPr>
          <w:p w14:paraId="3C880CE6" w14:textId="77777777" w:rsidR="00F606BC" w:rsidRPr="009178D0" w:rsidRDefault="00F606BC">
            <w:pPr>
              <w:rPr>
                <w:rFonts w:cs="Arial"/>
                <w:sz w:val="20"/>
                <w:szCs w:val="20"/>
              </w:rPr>
            </w:pPr>
          </w:p>
        </w:tc>
        <w:tc>
          <w:tcPr>
            <w:tcW w:w="1890" w:type="dxa"/>
            <w:noWrap/>
            <w:hideMark/>
          </w:tcPr>
          <w:p w14:paraId="4A63A766"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6C19D7B5" w14:textId="77777777" w:rsidR="00F606BC" w:rsidRPr="009178D0" w:rsidRDefault="00F606BC">
            <w:pPr>
              <w:rPr>
                <w:rFonts w:cs="Arial"/>
                <w:sz w:val="20"/>
                <w:szCs w:val="20"/>
              </w:rPr>
            </w:pPr>
            <w:r w:rsidRPr="009178D0">
              <w:rPr>
                <w:rFonts w:cs="Arial"/>
                <w:sz w:val="20"/>
                <w:szCs w:val="20"/>
              </w:rPr>
              <w:t>Oxacillin</w:t>
            </w:r>
          </w:p>
        </w:tc>
        <w:tc>
          <w:tcPr>
            <w:tcW w:w="1799" w:type="dxa"/>
            <w:hideMark/>
          </w:tcPr>
          <w:p w14:paraId="36752AEC" w14:textId="77777777" w:rsidR="00F606BC" w:rsidRPr="009178D0" w:rsidRDefault="00F606BC">
            <w:pPr>
              <w:rPr>
                <w:rFonts w:cs="Arial"/>
                <w:sz w:val="20"/>
                <w:szCs w:val="20"/>
              </w:rPr>
            </w:pPr>
            <w:proofErr w:type="spellStart"/>
            <w:r w:rsidRPr="009178D0">
              <w:rPr>
                <w:rFonts w:cs="Arial"/>
                <w:sz w:val="20"/>
                <w:szCs w:val="20"/>
              </w:rPr>
              <w:t>Prostaphilin</w:t>
            </w:r>
            <w:proofErr w:type="spellEnd"/>
            <w:r w:rsidRPr="009178D0">
              <w:rPr>
                <w:rFonts w:cs="Arial"/>
                <w:sz w:val="20"/>
                <w:szCs w:val="20"/>
              </w:rPr>
              <w:t xml:space="preserve">, </w:t>
            </w:r>
            <w:proofErr w:type="spellStart"/>
            <w:r w:rsidRPr="009178D0">
              <w:rPr>
                <w:rFonts w:cs="Arial"/>
                <w:sz w:val="20"/>
                <w:szCs w:val="20"/>
              </w:rPr>
              <w:t>Bactocil</w:t>
            </w:r>
            <w:proofErr w:type="spellEnd"/>
            <w:r w:rsidRPr="009178D0">
              <w:rPr>
                <w:rFonts w:cs="Arial"/>
                <w:sz w:val="20"/>
                <w:szCs w:val="20"/>
              </w:rPr>
              <w:t xml:space="preserve">, </w:t>
            </w:r>
            <w:proofErr w:type="spellStart"/>
            <w:r w:rsidRPr="009178D0">
              <w:rPr>
                <w:rFonts w:cs="Arial"/>
                <w:sz w:val="20"/>
                <w:szCs w:val="20"/>
              </w:rPr>
              <w:t>Prostaphlin</w:t>
            </w:r>
            <w:proofErr w:type="spellEnd"/>
          </w:p>
        </w:tc>
        <w:tc>
          <w:tcPr>
            <w:tcW w:w="1890" w:type="dxa"/>
            <w:noWrap/>
            <w:hideMark/>
          </w:tcPr>
          <w:p w14:paraId="47FC766D" w14:textId="77777777" w:rsidR="00F606BC" w:rsidRPr="009178D0" w:rsidRDefault="00F606BC">
            <w:pPr>
              <w:rPr>
                <w:rFonts w:cs="Arial"/>
                <w:sz w:val="20"/>
                <w:szCs w:val="20"/>
              </w:rPr>
            </w:pPr>
          </w:p>
        </w:tc>
        <w:tc>
          <w:tcPr>
            <w:tcW w:w="1890" w:type="dxa"/>
            <w:noWrap/>
            <w:hideMark/>
          </w:tcPr>
          <w:p w14:paraId="3B581382" w14:textId="77777777" w:rsidR="00F606BC" w:rsidRPr="009178D0" w:rsidRDefault="00F606BC">
            <w:pPr>
              <w:rPr>
                <w:rFonts w:cs="Arial"/>
                <w:sz w:val="20"/>
                <w:szCs w:val="20"/>
              </w:rPr>
            </w:pPr>
          </w:p>
        </w:tc>
        <w:tc>
          <w:tcPr>
            <w:tcW w:w="1530" w:type="dxa"/>
            <w:noWrap/>
            <w:hideMark/>
          </w:tcPr>
          <w:p w14:paraId="3CF128E2" w14:textId="77777777" w:rsidR="00F606BC" w:rsidRPr="009178D0" w:rsidRDefault="00F606BC">
            <w:pPr>
              <w:rPr>
                <w:rFonts w:cs="Arial"/>
                <w:sz w:val="20"/>
                <w:szCs w:val="20"/>
              </w:rPr>
            </w:pPr>
          </w:p>
        </w:tc>
        <w:tc>
          <w:tcPr>
            <w:tcW w:w="1620" w:type="dxa"/>
            <w:noWrap/>
            <w:hideMark/>
          </w:tcPr>
          <w:p w14:paraId="0ABA4AF5" w14:textId="77777777" w:rsidR="00F606BC" w:rsidRPr="009178D0" w:rsidRDefault="00F606BC">
            <w:pPr>
              <w:rPr>
                <w:rFonts w:cs="Arial"/>
                <w:sz w:val="20"/>
                <w:szCs w:val="20"/>
              </w:rPr>
            </w:pPr>
          </w:p>
        </w:tc>
      </w:tr>
      <w:tr w:rsidR="00B10A7E" w:rsidRPr="00F606BC" w14:paraId="000ED08B" w14:textId="77777777" w:rsidTr="00915128">
        <w:trPr>
          <w:trHeight w:val="552"/>
        </w:trPr>
        <w:tc>
          <w:tcPr>
            <w:tcW w:w="1885" w:type="dxa"/>
            <w:noWrap/>
            <w:hideMark/>
          </w:tcPr>
          <w:p w14:paraId="7F837C05" w14:textId="77777777" w:rsidR="00F606BC" w:rsidRPr="009178D0" w:rsidRDefault="00F606BC">
            <w:pPr>
              <w:rPr>
                <w:rFonts w:cs="Arial"/>
                <w:sz w:val="20"/>
                <w:szCs w:val="20"/>
              </w:rPr>
            </w:pPr>
          </w:p>
        </w:tc>
        <w:tc>
          <w:tcPr>
            <w:tcW w:w="1890" w:type="dxa"/>
            <w:noWrap/>
            <w:hideMark/>
          </w:tcPr>
          <w:p w14:paraId="7239D11C"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2F1824C5" w14:textId="77777777" w:rsidR="00F606BC" w:rsidRPr="009178D0" w:rsidRDefault="00F606BC">
            <w:pPr>
              <w:rPr>
                <w:rFonts w:cs="Arial"/>
                <w:sz w:val="20"/>
                <w:szCs w:val="20"/>
              </w:rPr>
            </w:pPr>
            <w:r w:rsidRPr="009178D0">
              <w:rPr>
                <w:rFonts w:cs="Arial"/>
                <w:sz w:val="20"/>
                <w:szCs w:val="20"/>
              </w:rPr>
              <w:t>Penicillin</w:t>
            </w:r>
          </w:p>
        </w:tc>
        <w:tc>
          <w:tcPr>
            <w:tcW w:w="1799" w:type="dxa"/>
            <w:hideMark/>
          </w:tcPr>
          <w:p w14:paraId="4C476E4F" w14:textId="77777777" w:rsidR="00F606BC" w:rsidRPr="009178D0" w:rsidRDefault="00F606BC">
            <w:pPr>
              <w:rPr>
                <w:rFonts w:cs="Arial"/>
                <w:sz w:val="20"/>
                <w:szCs w:val="20"/>
              </w:rPr>
            </w:pPr>
            <w:proofErr w:type="spellStart"/>
            <w:r w:rsidRPr="009178D0">
              <w:rPr>
                <w:rFonts w:cs="Arial"/>
                <w:sz w:val="20"/>
                <w:szCs w:val="20"/>
              </w:rPr>
              <w:t>Benylpenicillin</w:t>
            </w:r>
            <w:proofErr w:type="spellEnd"/>
            <w:r w:rsidRPr="009178D0">
              <w:rPr>
                <w:rFonts w:cs="Arial"/>
                <w:sz w:val="20"/>
                <w:szCs w:val="20"/>
              </w:rPr>
              <w:t xml:space="preserve">, Penicillin G, </w:t>
            </w:r>
            <w:proofErr w:type="spellStart"/>
            <w:r w:rsidRPr="009178D0">
              <w:rPr>
                <w:rFonts w:cs="Arial"/>
                <w:sz w:val="20"/>
                <w:szCs w:val="20"/>
              </w:rPr>
              <w:t>Bicillin</w:t>
            </w:r>
            <w:proofErr w:type="spellEnd"/>
            <w:r w:rsidRPr="009178D0">
              <w:rPr>
                <w:rFonts w:cs="Arial"/>
                <w:sz w:val="20"/>
                <w:szCs w:val="20"/>
              </w:rPr>
              <w:t xml:space="preserve"> C-R/L-A, </w:t>
            </w:r>
            <w:proofErr w:type="spellStart"/>
            <w:r w:rsidRPr="009178D0">
              <w:rPr>
                <w:rFonts w:cs="Arial"/>
                <w:sz w:val="20"/>
                <w:szCs w:val="20"/>
              </w:rPr>
              <w:t>Pfizerpen</w:t>
            </w:r>
            <w:proofErr w:type="spellEnd"/>
            <w:r w:rsidRPr="009178D0">
              <w:rPr>
                <w:rFonts w:cs="Arial"/>
                <w:sz w:val="20"/>
                <w:szCs w:val="20"/>
              </w:rPr>
              <w:t xml:space="preserve">, </w:t>
            </w:r>
            <w:proofErr w:type="spellStart"/>
            <w:r w:rsidRPr="009178D0">
              <w:rPr>
                <w:rFonts w:cs="Arial"/>
                <w:sz w:val="20"/>
                <w:szCs w:val="20"/>
              </w:rPr>
              <w:t>Wycellin</w:t>
            </w:r>
            <w:proofErr w:type="spellEnd"/>
          </w:p>
        </w:tc>
        <w:tc>
          <w:tcPr>
            <w:tcW w:w="1890" w:type="dxa"/>
            <w:noWrap/>
            <w:hideMark/>
          </w:tcPr>
          <w:p w14:paraId="6B5FB73F" w14:textId="77777777" w:rsidR="00F606BC" w:rsidRPr="009178D0" w:rsidRDefault="00F606BC">
            <w:pPr>
              <w:rPr>
                <w:rFonts w:cs="Arial"/>
                <w:sz w:val="20"/>
                <w:szCs w:val="20"/>
              </w:rPr>
            </w:pPr>
          </w:p>
        </w:tc>
        <w:tc>
          <w:tcPr>
            <w:tcW w:w="1890" w:type="dxa"/>
            <w:noWrap/>
            <w:hideMark/>
          </w:tcPr>
          <w:p w14:paraId="5205D0F7" w14:textId="77777777" w:rsidR="00F606BC" w:rsidRPr="009178D0" w:rsidRDefault="00F606BC">
            <w:pPr>
              <w:rPr>
                <w:rFonts w:cs="Arial"/>
                <w:sz w:val="20"/>
                <w:szCs w:val="20"/>
              </w:rPr>
            </w:pPr>
          </w:p>
        </w:tc>
        <w:tc>
          <w:tcPr>
            <w:tcW w:w="1530" w:type="dxa"/>
            <w:noWrap/>
            <w:hideMark/>
          </w:tcPr>
          <w:p w14:paraId="442E6EEB" w14:textId="77777777" w:rsidR="00F606BC" w:rsidRPr="009178D0" w:rsidRDefault="00F606BC">
            <w:pPr>
              <w:rPr>
                <w:rFonts w:cs="Arial"/>
                <w:sz w:val="20"/>
                <w:szCs w:val="20"/>
              </w:rPr>
            </w:pPr>
          </w:p>
        </w:tc>
        <w:tc>
          <w:tcPr>
            <w:tcW w:w="1620" w:type="dxa"/>
            <w:noWrap/>
            <w:hideMark/>
          </w:tcPr>
          <w:p w14:paraId="44620962" w14:textId="77777777" w:rsidR="00F606BC" w:rsidRPr="009178D0" w:rsidRDefault="00F606BC">
            <w:pPr>
              <w:rPr>
                <w:rFonts w:cs="Arial"/>
                <w:sz w:val="20"/>
                <w:szCs w:val="20"/>
              </w:rPr>
            </w:pPr>
          </w:p>
        </w:tc>
      </w:tr>
      <w:tr w:rsidR="00B10A7E" w:rsidRPr="00F606BC" w14:paraId="49523346" w14:textId="77777777" w:rsidTr="00915128">
        <w:trPr>
          <w:trHeight w:val="288"/>
        </w:trPr>
        <w:tc>
          <w:tcPr>
            <w:tcW w:w="1885" w:type="dxa"/>
            <w:noWrap/>
            <w:hideMark/>
          </w:tcPr>
          <w:p w14:paraId="5363131A" w14:textId="77777777" w:rsidR="00F606BC" w:rsidRPr="009178D0" w:rsidRDefault="00F606BC">
            <w:pPr>
              <w:rPr>
                <w:rFonts w:cs="Arial"/>
                <w:sz w:val="20"/>
                <w:szCs w:val="20"/>
              </w:rPr>
            </w:pPr>
          </w:p>
        </w:tc>
        <w:tc>
          <w:tcPr>
            <w:tcW w:w="1890" w:type="dxa"/>
            <w:noWrap/>
            <w:hideMark/>
          </w:tcPr>
          <w:p w14:paraId="1AE0A58A"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373B5F1F" w14:textId="77777777" w:rsidR="00F606BC" w:rsidRPr="009178D0" w:rsidRDefault="00F606BC">
            <w:pPr>
              <w:rPr>
                <w:rFonts w:cs="Arial"/>
                <w:sz w:val="20"/>
                <w:szCs w:val="20"/>
              </w:rPr>
            </w:pPr>
            <w:r w:rsidRPr="009178D0">
              <w:rPr>
                <w:rFonts w:cs="Arial"/>
                <w:sz w:val="20"/>
                <w:szCs w:val="20"/>
              </w:rPr>
              <w:t>Piperacillin</w:t>
            </w:r>
          </w:p>
        </w:tc>
        <w:tc>
          <w:tcPr>
            <w:tcW w:w="1799" w:type="dxa"/>
            <w:hideMark/>
          </w:tcPr>
          <w:p w14:paraId="7BBD06BE" w14:textId="77777777" w:rsidR="00F606BC" w:rsidRPr="009178D0" w:rsidRDefault="00F606BC">
            <w:pPr>
              <w:rPr>
                <w:rFonts w:cs="Arial"/>
                <w:sz w:val="20"/>
                <w:szCs w:val="20"/>
              </w:rPr>
            </w:pPr>
            <w:r w:rsidRPr="009178D0">
              <w:rPr>
                <w:rFonts w:cs="Arial"/>
                <w:sz w:val="20"/>
                <w:szCs w:val="20"/>
              </w:rPr>
              <w:t> </w:t>
            </w:r>
          </w:p>
        </w:tc>
        <w:tc>
          <w:tcPr>
            <w:tcW w:w="1890" w:type="dxa"/>
            <w:noWrap/>
            <w:hideMark/>
          </w:tcPr>
          <w:p w14:paraId="1DB8A91A" w14:textId="77777777" w:rsidR="00F606BC" w:rsidRPr="009178D0" w:rsidRDefault="00F606BC">
            <w:pPr>
              <w:rPr>
                <w:rFonts w:cs="Arial"/>
                <w:sz w:val="20"/>
                <w:szCs w:val="20"/>
              </w:rPr>
            </w:pPr>
          </w:p>
        </w:tc>
        <w:tc>
          <w:tcPr>
            <w:tcW w:w="1890" w:type="dxa"/>
            <w:noWrap/>
            <w:hideMark/>
          </w:tcPr>
          <w:p w14:paraId="503C0A82" w14:textId="77777777" w:rsidR="00F606BC" w:rsidRPr="009178D0" w:rsidRDefault="00F606BC">
            <w:pPr>
              <w:rPr>
                <w:rFonts w:cs="Arial"/>
                <w:sz w:val="20"/>
                <w:szCs w:val="20"/>
              </w:rPr>
            </w:pPr>
          </w:p>
        </w:tc>
        <w:tc>
          <w:tcPr>
            <w:tcW w:w="1530" w:type="dxa"/>
            <w:noWrap/>
            <w:hideMark/>
          </w:tcPr>
          <w:p w14:paraId="2A6C02AE" w14:textId="77777777" w:rsidR="00F606BC" w:rsidRPr="009178D0" w:rsidRDefault="00F606BC">
            <w:pPr>
              <w:rPr>
                <w:rFonts w:cs="Arial"/>
                <w:sz w:val="20"/>
                <w:szCs w:val="20"/>
              </w:rPr>
            </w:pPr>
          </w:p>
        </w:tc>
        <w:tc>
          <w:tcPr>
            <w:tcW w:w="1620" w:type="dxa"/>
            <w:noWrap/>
            <w:hideMark/>
          </w:tcPr>
          <w:p w14:paraId="0CAFA4CE" w14:textId="77777777" w:rsidR="00F606BC" w:rsidRPr="009178D0" w:rsidRDefault="00F606BC">
            <w:pPr>
              <w:rPr>
                <w:rFonts w:cs="Arial"/>
                <w:sz w:val="20"/>
                <w:szCs w:val="20"/>
              </w:rPr>
            </w:pPr>
          </w:p>
        </w:tc>
      </w:tr>
      <w:tr w:rsidR="00B10A7E" w:rsidRPr="00F606BC" w14:paraId="2457878A" w14:textId="77777777" w:rsidTr="00915128">
        <w:trPr>
          <w:trHeight w:val="288"/>
        </w:trPr>
        <w:tc>
          <w:tcPr>
            <w:tcW w:w="1885" w:type="dxa"/>
            <w:noWrap/>
            <w:hideMark/>
          </w:tcPr>
          <w:p w14:paraId="7185E65C" w14:textId="77777777" w:rsidR="00F606BC" w:rsidRPr="009178D0" w:rsidRDefault="00F606BC">
            <w:pPr>
              <w:rPr>
                <w:rFonts w:cs="Arial"/>
                <w:sz w:val="20"/>
                <w:szCs w:val="20"/>
              </w:rPr>
            </w:pPr>
          </w:p>
        </w:tc>
        <w:tc>
          <w:tcPr>
            <w:tcW w:w="1890" w:type="dxa"/>
            <w:noWrap/>
            <w:hideMark/>
          </w:tcPr>
          <w:p w14:paraId="38E340C6"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0138AE65" w14:textId="77777777" w:rsidR="00F606BC" w:rsidRPr="009178D0" w:rsidRDefault="00F606BC">
            <w:pPr>
              <w:rPr>
                <w:rFonts w:cs="Arial"/>
                <w:sz w:val="20"/>
                <w:szCs w:val="20"/>
              </w:rPr>
            </w:pPr>
            <w:r w:rsidRPr="009178D0">
              <w:rPr>
                <w:rFonts w:cs="Arial"/>
                <w:sz w:val="20"/>
                <w:szCs w:val="20"/>
              </w:rPr>
              <w:t>Telavancin</w:t>
            </w:r>
          </w:p>
        </w:tc>
        <w:tc>
          <w:tcPr>
            <w:tcW w:w="1799" w:type="dxa"/>
            <w:hideMark/>
          </w:tcPr>
          <w:p w14:paraId="76871096" w14:textId="77777777" w:rsidR="00F606BC" w:rsidRPr="009178D0" w:rsidRDefault="00F606BC">
            <w:pPr>
              <w:rPr>
                <w:rFonts w:cs="Arial"/>
                <w:sz w:val="20"/>
                <w:szCs w:val="20"/>
              </w:rPr>
            </w:pPr>
            <w:r w:rsidRPr="009178D0">
              <w:rPr>
                <w:rFonts w:cs="Arial"/>
                <w:sz w:val="20"/>
                <w:szCs w:val="20"/>
              </w:rPr>
              <w:t xml:space="preserve">TD-6424, </w:t>
            </w:r>
            <w:proofErr w:type="spellStart"/>
            <w:r w:rsidRPr="009178D0">
              <w:rPr>
                <w:rFonts w:cs="Arial"/>
                <w:sz w:val="20"/>
                <w:szCs w:val="20"/>
              </w:rPr>
              <w:t>Vibativ</w:t>
            </w:r>
            <w:proofErr w:type="spellEnd"/>
          </w:p>
        </w:tc>
        <w:tc>
          <w:tcPr>
            <w:tcW w:w="1890" w:type="dxa"/>
            <w:noWrap/>
            <w:hideMark/>
          </w:tcPr>
          <w:p w14:paraId="369437AA" w14:textId="77777777" w:rsidR="00F606BC" w:rsidRPr="009178D0" w:rsidRDefault="00F606BC">
            <w:pPr>
              <w:rPr>
                <w:rFonts w:cs="Arial"/>
                <w:sz w:val="20"/>
                <w:szCs w:val="20"/>
              </w:rPr>
            </w:pPr>
          </w:p>
        </w:tc>
        <w:tc>
          <w:tcPr>
            <w:tcW w:w="1890" w:type="dxa"/>
            <w:noWrap/>
            <w:hideMark/>
          </w:tcPr>
          <w:p w14:paraId="6F284CCC" w14:textId="77777777" w:rsidR="00F606BC" w:rsidRPr="009178D0" w:rsidRDefault="00F606BC">
            <w:pPr>
              <w:rPr>
                <w:rFonts w:cs="Arial"/>
                <w:sz w:val="20"/>
                <w:szCs w:val="20"/>
              </w:rPr>
            </w:pPr>
          </w:p>
        </w:tc>
        <w:tc>
          <w:tcPr>
            <w:tcW w:w="1530" w:type="dxa"/>
            <w:noWrap/>
            <w:hideMark/>
          </w:tcPr>
          <w:p w14:paraId="7817185B" w14:textId="77777777" w:rsidR="00F606BC" w:rsidRPr="009178D0" w:rsidRDefault="00F606BC">
            <w:pPr>
              <w:rPr>
                <w:rFonts w:cs="Arial"/>
                <w:sz w:val="20"/>
                <w:szCs w:val="20"/>
              </w:rPr>
            </w:pPr>
          </w:p>
        </w:tc>
        <w:tc>
          <w:tcPr>
            <w:tcW w:w="1620" w:type="dxa"/>
            <w:noWrap/>
            <w:hideMark/>
          </w:tcPr>
          <w:p w14:paraId="290E4AC7" w14:textId="77777777" w:rsidR="00F606BC" w:rsidRPr="009178D0" w:rsidRDefault="00F606BC">
            <w:pPr>
              <w:rPr>
                <w:rFonts w:cs="Arial"/>
                <w:sz w:val="20"/>
                <w:szCs w:val="20"/>
              </w:rPr>
            </w:pPr>
          </w:p>
        </w:tc>
      </w:tr>
      <w:tr w:rsidR="00B10A7E" w:rsidRPr="00F606BC" w14:paraId="5CAAA171" w14:textId="77777777" w:rsidTr="00915128">
        <w:trPr>
          <w:trHeight w:val="288"/>
        </w:trPr>
        <w:tc>
          <w:tcPr>
            <w:tcW w:w="1885" w:type="dxa"/>
            <w:noWrap/>
            <w:hideMark/>
          </w:tcPr>
          <w:p w14:paraId="4CF78B67" w14:textId="77777777" w:rsidR="00F606BC" w:rsidRPr="009178D0" w:rsidRDefault="00F606BC">
            <w:pPr>
              <w:rPr>
                <w:rFonts w:cs="Arial"/>
                <w:sz w:val="20"/>
                <w:szCs w:val="20"/>
              </w:rPr>
            </w:pPr>
          </w:p>
        </w:tc>
        <w:tc>
          <w:tcPr>
            <w:tcW w:w="1890" w:type="dxa"/>
            <w:noWrap/>
            <w:hideMark/>
          </w:tcPr>
          <w:p w14:paraId="4FABD931"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0EB8006D" w14:textId="77777777" w:rsidR="00F606BC" w:rsidRPr="009178D0" w:rsidRDefault="00F606BC">
            <w:pPr>
              <w:rPr>
                <w:rFonts w:cs="Arial"/>
                <w:sz w:val="20"/>
                <w:szCs w:val="20"/>
              </w:rPr>
            </w:pPr>
            <w:r w:rsidRPr="009178D0">
              <w:rPr>
                <w:rFonts w:cs="Arial"/>
                <w:sz w:val="20"/>
                <w:szCs w:val="20"/>
              </w:rPr>
              <w:t>Tetracycline</w:t>
            </w:r>
          </w:p>
        </w:tc>
        <w:tc>
          <w:tcPr>
            <w:tcW w:w="1799" w:type="dxa"/>
            <w:hideMark/>
          </w:tcPr>
          <w:p w14:paraId="43F4FDFC" w14:textId="77777777" w:rsidR="00F606BC" w:rsidRPr="009178D0" w:rsidRDefault="00F606BC">
            <w:pPr>
              <w:rPr>
                <w:rFonts w:cs="Arial"/>
                <w:sz w:val="20"/>
                <w:szCs w:val="20"/>
              </w:rPr>
            </w:pPr>
            <w:r w:rsidRPr="009178D0">
              <w:rPr>
                <w:rFonts w:cs="Arial"/>
                <w:sz w:val="20"/>
                <w:szCs w:val="20"/>
              </w:rPr>
              <w:t xml:space="preserve">Ala-Tet, </w:t>
            </w:r>
            <w:proofErr w:type="spellStart"/>
            <w:r w:rsidRPr="009178D0">
              <w:rPr>
                <w:rFonts w:cs="Arial"/>
                <w:sz w:val="20"/>
                <w:szCs w:val="20"/>
              </w:rPr>
              <w:t>Panmycin</w:t>
            </w:r>
            <w:proofErr w:type="spellEnd"/>
            <w:r w:rsidRPr="009178D0">
              <w:rPr>
                <w:rFonts w:cs="Arial"/>
                <w:sz w:val="20"/>
                <w:szCs w:val="20"/>
              </w:rPr>
              <w:t xml:space="preserve">, </w:t>
            </w:r>
            <w:proofErr w:type="spellStart"/>
            <w:r w:rsidRPr="009178D0">
              <w:rPr>
                <w:rFonts w:cs="Arial"/>
                <w:sz w:val="20"/>
                <w:szCs w:val="20"/>
              </w:rPr>
              <w:t>Sumycin</w:t>
            </w:r>
            <w:proofErr w:type="spellEnd"/>
          </w:p>
        </w:tc>
        <w:tc>
          <w:tcPr>
            <w:tcW w:w="1890" w:type="dxa"/>
            <w:noWrap/>
            <w:hideMark/>
          </w:tcPr>
          <w:p w14:paraId="28C082B7" w14:textId="77777777" w:rsidR="00F606BC" w:rsidRPr="009178D0" w:rsidRDefault="00F606BC">
            <w:pPr>
              <w:rPr>
                <w:rFonts w:cs="Arial"/>
                <w:sz w:val="20"/>
                <w:szCs w:val="20"/>
              </w:rPr>
            </w:pPr>
          </w:p>
        </w:tc>
        <w:tc>
          <w:tcPr>
            <w:tcW w:w="1890" w:type="dxa"/>
            <w:noWrap/>
            <w:hideMark/>
          </w:tcPr>
          <w:p w14:paraId="7C637BF8" w14:textId="77777777" w:rsidR="00F606BC" w:rsidRPr="009178D0" w:rsidRDefault="00F606BC">
            <w:pPr>
              <w:rPr>
                <w:rFonts w:cs="Arial"/>
                <w:sz w:val="20"/>
                <w:szCs w:val="20"/>
              </w:rPr>
            </w:pPr>
          </w:p>
        </w:tc>
        <w:tc>
          <w:tcPr>
            <w:tcW w:w="1530" w:type="dxa"/>
            <w:noWrap/>
            <w:hideMark/>
          </w:tcPr>
          <w:p w14:paraId="0F97E2F7" w14:textId="77777777" w:rsidR="00F606BC" w:rsidRPr="009178D0" w:rsidRDefault="00F606BC">
            <w:pPr>
              <w:rPr>
                <w:rFonts w:cs="Arial"/>
                <w:sz w:val="20"/>
                <w:szCs w:val="20"/>
              </w:rPr>
            </w:pPr>
          </w:p>
        </w:tc>
        <w:tc>
          <w:tcPr>
            <w:tcW w:w="1620" w:type="dxa"/>
            <w:noWrap/>
            <w:hideMark/>
          </w:tcPr>
          <w:p w14:paraId="50EAD999" w14:textId="77777777" w:rsidR="00F606BC" w:rsidRPr="009178D0" w:rsidRDefault="00F606BC">
            <w:pPr>
              <w:rPr>
                <w:rFonts w:cs="Arial"/>
                <w:sz w:val="20"/>
                <w:szCs w:val="20"/>
              </w:rPr>
            </w:pPr>
          </w:p>
        </w:tc>
      </w:tr>
      <w:tr w:rsidR="00B10A7E" w:rsidRPr="00F606BC" w14:paraId="32775944" w14:textId="77777777" w:rsidTr="00915128">
        <w:trPr>
          <w:trHeight w:val="288"/>
        </w:trPr>
        <w:tc>
          <w:tcPr>
            <w:tcW w:w="1885" w:type="dxa"/>
            <w:noWrap/>
            <w:hideMark/>
          </w:tcPr>
          <w:p w14:paraId="1900443E" w14:textId="77777777" w:rsidR="00F606BC" w:rsidRPr="009178D0" w:rsidRDefault="00F606BC">
            <w:pPr>
              <w:rPr>
                <w:rFonts w:cs="Arial"/>
                <w:sz w:val="20"/>
                <w:szCs w:val="20"/>
              </w:rPr>
            </w:pPr>
          </w:p>
        </w:tc>
        <w:tc>
          <w:tcPr>
            <w:tcW w:w="1890" w:type="dxa"/>
            <w:noWrap/>
            <w:hideMark/>
          </w:tcPr>
          <w:p w14:paraId="3A46D059"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49B3A74B" w14:textId="77777777" w:rsidR="00F606BC" w:rsidRPr="009178D0" w:rsidRDefault="00F606BC">
            <w:pPr>
              <w:rPr>
                <w:rFonts w:cs="Arial"/>
                <w:sz w:val="20"/>
                <w:szCs w:val="20"/>
              </w:rPr>
            </w:pPr>
            <w:r w:rsidRPr="009178D0">
              <w:rPr>
                <w:rFonts w:cs="Arial"/>
                <w:sz w:val="20"/>
                <w:szCs w:val="20"/>
              </w:rPr>
              <w:t xml:space="preserve">Tigecycline </w:t>
            </w:r>
          </w:p>
        </w:tc>
        <w:tc>
          <w:tcPr>
            <w:tcW w:w="1799" w:type="dxa"/>
            <w:hideMark/>
          </w:tcPr>
          <w:p w14:paraId="0C25D499" w14:textId="77777777" w:rsidR="00F606BC" w:rsidRPr="009178D0" w:rsidRDefault="00F606BC">
            <w:pPr>
              <w:rPr>
                <w:rFonts w:cs="Arial"/>
                <w:sz w:val="20"/>
                <w:szCs w:val="20"/>
              </w:rPr>
            </w:pPr>
            <w:proofErr w:type="spellStart"/>
            <w:r w:rsidRPr="009178D0">
              <w:rPr>
                <w:rFonts w:cs="Arial"/>
                <w:sz w:val="20"/>
                <w:szCs w:val="20"/>
              </w:rPr>
              <w:t>Tigacyl</w:t>
            </w:r>
            <w:proofErr w:type="spellEnd"/>
          </w:p>
        </w:tc>
        <w:tc>
          <w:tcPr>
            <w:tcW w:w="1890" w:type="dxa"/>
            <w:noWrap/>
            <w:hideMark/>
          </w:tcPr>
          <w:p w14:paraId="225997B9" w14:textId="77777777" w:rsidR="00F606BC" w:rsidRPr="009178D0" w:rsidRDefault="00F606BC">
            <w:pPr>
              <w:rPr>
                <w:rFonts w:cs="Arial"/>
                <w:sz w:val="20"/>
                <w:szCs w:val="20"/>
              </w:rPr>
            </w:pPr>
          </w:p>
        </w:tc>
        <w:tc>
          <w:tcPr>
            <w:tcW w:w="1890" w:type="dxa"/>
            <w:noWrap/>
            <w:hideMark/>
          </w:tcPr>
          <w:p w14:paraId="621E5924" w14:textId="77777777" w:rsidR="00F606BC" w:rsidRPr="009178D0" w:rsidRDefault="00F606BC">
            <w:pPr>
              <w:rPr>
                <w:rFonts w:cs="Arial"/>
                <w:sz w:val="20"/>
                <w:szCs w:val="20"/>
              </w:rPr>
            </w:pPr>
          </w:p>
        </w:tc>
        <w:tc>
          <w:tcPr>
            <w:tcW w:w="1530" w:type="dxa"/>
            <w:noWrap/>
            <w:hideMark/>
          </w:tcPr>
          <w:p w14:paraId="414E981D" w14:textId="77777777" w:rsidR="00F606BC" w:rsidRPr="009178D0" w:rsidRDefault="00F606BC">
            <w:pPr>
              <w:rPr>
                <w:rFonts w:cs="Arial"/>
                <w:sz w:val="20"/>
                <w:szCs w:val="20"/>
              </w:rPr>
            </w:pPr>
          </w:p>
        </w:tc>
        <w:tc>
          <w:tcPr>
            <w:tcW w:w="1620" w:type="dxa"/>
            <w:noWrap/>
            <w:hideMark/>
          </w:tcPr>
          <w:p w14:paraId="7F2E68CC" w14:textId="77777777" w:rsidR="00F606BC" w:rsidRPr="009178D0" w:rsidRDefault="00F606BC">
            <w:pPr>
              <w:rPr>
                <w:rFonts w:cs="Arial"/>
                <w:sz w:val="20"/>
                <w:szCs w:val="20"/>
              </w:rPr>
            </w:pPr>
          </w:p>
        </w:tc>
      </w:tr>
      <w:tr w:rsidR="00B10A7E" w:rsidRPr="00F606BC" w14:paraId="726190E7" w14:textId="77777777" w:rsidTr="00915128">
        <w:trPr>
          <w:trHeight w:val="552"/>
        </w:trPr>
        <w:tc>
          <w:tcPr>
            <w:tcW w:w="1885" w:type="dxa"/>
            <w:noWrap/>
            <w:hideMark/>
          </w:tcPr>
          <w:p w14:paraId="27A8429F" w14:textId="77777777" w:rsidR="00F606BC" w:rsidRPr="009178D0" w:rsidRDefault="00F606BC">
            <w:pPr>
              <w:rPr>
                <w:rFonts w:cs="Arial"/>
                <w:sz w:val="20"/>
                <w:szCs w:val="20"/>
              </w:rPr>
            </w:pPr>
          </w:p>
        </w:tc>
        <w:tc>
          <w:tcPr>
            <w:tcW w:w="1890" w:type="dxa"/>
            <w:noWrap/>
            <w:hideMark/>
          </w:tcPr>
          <w:p w14:paraId="7D109B16" w14:textId="77777777" w:rsidR="00F606BC" w:rsidRPr="009178D0" w:rsidRDefault="00F606BC">
            <w:pPr>
              <w:rPr>
                <w:rFonts w:cs="Arial"/>
                <w:sz w:val="20"/>
                <w:szCs w:val="20"/>
              </w:rPr>
            </w:pPr>
          </w:p>
        </w:tc>
        <w:tc>
          <w:tcPr>
            <w:tcW w:w="1621" w:type="dxa"/>
            <w:shd w:val="clear" w:color="auto" w:fill="B4C6E7" w:themeFill="accent1" w:themeFillTint="66"/>
            <w:noWrap/>
            <w:hideMark/>
          </w:tcPr>
          <w:p w14:paraId="011A8638" w14:textId="77777777" w:rsidR="00F606BC" w:rsidRPr="009178D0" w:rsidRDefault="00F606BC">
            <w:pPr>
              <w:rPr>
                <w:rFonts w:cs="Arial"/>
                <w:sz w:val="20"/>
                <w:szCs w:val="20"/>
              </w:rPr>
            </w:pPr>
            <w:r w:rsidRPr="009178D0">
              <w:rPr>
                <w:rFonts w:cs="Arial"/>
                <w:sz w:val="20"/>
                <w:szCs w:val="20"/>
              </w:rPr>
              <w:t xml:space="preserve">Tobramycin </w:t>
            </w:r>
          </w:p>
        </w:tc>
        <w:tc>
          <w:tcPr>
            <w:tcW w:w="1799" w:type="dxa"/>
            <w:hideMark/>
          </w:tcPr>
          <w:p w14:paraId="719BC31F" w14:textId="77777777" w:rsidR="00F606BC" w:rsidRPr="009178D0" w:rsidRDefault="00F606BC">
            <w:pPr>
              <w:rPr>
                <w:rFonts w:cs="Arial"/>
                <w:sz w:val="20"/>
                <w:szCs w:val="20"/>
              </w:rPr>
            </w:pPr>
            <w:proofErr w:type="spellStart"/>
            <w:r w:rsidRPr="009178D0">
              <w:rPr>
                <w:rFonts w:cs="Arial"/>
                <w:sz w:val="20"/>
                <w:szCs w:val="20"/>
              </w:rPr>
              <w:t>Tobrex</w:t>
            </w:r>
            <w:proofErr w:type="spellEnd"/>
            <w:r w:rsidRPr="009178D0">
              <w:rPr>
                <w:rFonts w:cs="Arial"/>
                <w:sz w:val="20"/>
                <w:szCs w:val="20"/>
              </w:rPr>
              <w:t xml:space="preserve">, </w:t>
            </w:r>
            <w:proofErr w:type="spellStart"/>
            <w:r w:rsidRPr="009178D0">
              <w:rPr>
                <w:rFonts w:cs="Arial"/>
                <w:sz w:val="20"/>
                <w:szCs w:val="20"/>
              </w:rPr>
              <w:t>Nebcin</w:t>
            </w:r>
            <w:proofErr w:type="spellEnd"/>
            <w:r w:rsidRPr="009178D0">
              <w:rPr>
                <w:rFonts w:cs="Arial"/>
                <w:sz w:val="20"/>
                <w:szCs w:val="20"/>
              </w:rPr>
              <w:t xml:space="preserve">, </w:t>
            </w:r>
            <w:proofErr w:type="spellStart"/>
            <w:r w:rsidRPr="009178D0">
              <w:rPr>
                <w:rFonts w:cs="Arial"/>
                <w:sz w:val="20"/>
                <w:szCs w:val="20"/>
              </w:rPr>
              <w:t>Kitabis</w:t>
            </w:r>
            <w:proofErr w:type="spellEnd"/>
            <w:r w:rsidRPr="009178D0">
              <w:rPr>
                <w:rFonts w:cs="Arial"/>
                <w:sz w:val="20"/>
                <w:szCs w:val="20"/>
              </w:rPr>
              <w:t xml:space="preserve"> Pak, Tobi </w:t>
            </w:r>
            <w:proofErr w:type="spellStart"/>
            <w:r w:rsidRPr="009178D0">
              <w:rPr>
                <w:rFonts w:cs="Arial"/>
                <w:sz w:val="20"/>
                <w:szCs w:val="20"/>
              </w:rPr>
              <w:t>TOBI</w:t>
            </w:r>
            <w:proofErr w:type="spellEnd"/>
          </w:p>
        </w:tc>
        <w:tc>
          <w:tcPr>
            <w:tcW w:w="1890" w:type="dxa"/>
            <w:noWrap/>
            <w:hideMark/>
          </w:tcPr>
          <w:p w14:paraId="7F995F9D" w14:textId="77777777" w:rsidR="00F606BC" w:rsidRPr="009178D0" w:rsidRDefault="00F606BC">
            <w:pPr>
              <w:rPr>
                <w:rFonts w:cs="Arial"/>
                <w:sz w:val="20"/>
                <w:szCs w:val="20"/>
              </w:rPr>
            </w:pPr>
          </w:p>
        </w:tc>
        <w:tc>
          <w:tcPr>
            <w:tcW w:w="1890" w:type="dxa"/>
            <w:noWrap/>
            <w:hideMark/>
          </w:tcPr>
          <w:p w14:paraId="39F6103C" w14:textId="77777777" w:rsidR="00F606BC" w:rsidRPr="009178D0" w:rsidRDefault="00F606BC">
            <w:pPr>
              <w:rPr>
                <w:rFonts w:cs="Arial"/>
                <w:sz w:val="20"/>
                <w:szCs w:val="20"/>
              </w:rPr>
            </w:pPr>
          </w:p>
        </w:tc>
        <w:tc>
          <w:tcPr>
            <w:tcW w:w="1530" w:type="dxa"/>
            <w:noWrap/>
            <w:hideMark/>
          </w:tcPr>
          <w:p w14:paraId="2FD98D90" w14:textId="77777777" w:rsidR="00F606BC" w:rsidRPr="009178D0" w:rsidRDefault="00F606BC">
            <w:pPr>
              <w:rPr>
                <w:rFonts w:cs="Arial"/>
                <w:sz w:val="20"/>
                <w:szCs w:val="20"/>
              </w:rPr>
            </w:pPr>
          </w:p>
        </w:tc>
        <w:tc>
          <w:tcPr>
            <w:tcW w:w="1620" w:type="dxa"/>
            <w:noWrap/>
            <w:hideMark/>
          </w:tcPr>
          <w:p w14:paraId="481896E4" w14:textId="77777777" w:rsidR="00F606BC" w:rsidRPr="009178D0" w:rsidRDefault="00F606BC">
            <w:pPr>
              <w:rPr>
                <w:rFonts w:cs="Arial"/>
                <w:sz w:val="20"/>
                <w:szCs w:val="20"/>
              </w:rPr>
            </w:pPr>
          </w:p>
        </w:tc>
      </w:tr>
    </w:tbl>
    <w:p w14:paraId="5117DF70" w14:textId="77777777" w:rsidR="00F606BC" w:rsidRPr="00F606BC" w:rsidRDefault="00F606BC" w:rsidP="00F606BC"/>
    <w:sectPr w:rsidR="00F606BC" w:rsidRPr="00F606BC" w:rsidSect="005B208B">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11A7" w14:textId="77777777" w:rsidR="002C2B2A" w:rsidRDefault="002C2B2A" w:rsidP="00A76B2E">
      <w:pPr>
        <w:spacing w:after="0" w:line="240" w:lineRule="auto"/>
      </w:pPr>
      <w:r>
        <w:separator/>
      </w:r>
    </w:p>
  </w:endnote>
  <w:endnote w:type="continuationSeparator" w:id="0">
    <w:p w14:paraId="7DE62701" w14:textId="77777777" w:rsidR="002C2B2A" w:rsidRDefault="002C2B2A" w:rsidP="00A7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81894"/>
      <w:docPartObj>
        <w:docPartGallery w:val="Page Numbers (Bottom of Page)"/>
        <w:docPartUnique/>
      </w:docPartObj>
    </w:sdtPr>
    <w:sdtEndPr>
      <w:rPr>
        <w:noProof/>
        <w:sz w:val="20"/>
        <w:szCs w:val="20"/>
      </w:rPr>
    </w:sdtEndPr>
    <w:sdtContent>
      <w:p w14:paraId="4EA973BF" w14:textId="335F85E5" w:rsidR="00A76B2E" w:rsidRPr="00A76B2E" w:rsidRDefault="00A76B2E">
        <w:pPr>
          <w:pStyle w:val="Footer"/>
          <w:jc w:val="center"/>
          <w:rPr>
            <w:sz w:val="20"/>
            <w:szCs w:val="20"/>
          </w:rPr>
        </w:pPr>
        <w:r w:rsidRPr="00A76B2E">
          <w:rPr>
            <w:sz w:val="20"/>
            <w:szCs w:val="20"/>
          </w:rPr>
          <w:fldChar w:fldCharType="begin"/>
        </w:r>
        <w:r w:rsidRPr="00A76B2E">
          <w:rPr>
            <w:sz w:val="20"/>
            <w:szCs w:val="20"/>
          </w:rPr>
          <w:instrText xml:space="preserve"> PAGE   \* MERGEFORMAT </w:instrText>
        </w:r>
        <w:r w:rsidRPr="00A76B2E">
          <w:rPr>
            <w:sz w:val="20"/>
            <w:szCs w:val="20"/>
          </w:rPr>
          <w:fldChar w:fldCharType="separate"/>
        </w:r>
        <w:r w:rsidRPr="00A76B2E">
          <w:rPr>
            <w:noProof/>
            <w:sz w:val="20"/>
            <w:szCs w:val="20"/>
          </w:rPr>
          <w:t>2</w:t>
        </w:r>
        <w:r w:rsidRPr="00A76B2E">
          <w:rPr>
            <w:noProof/>
            <w:sz w:val="20"/>
            <w:szCs w:val="20"/>
          </w:rPr>
          <w:fldChar w:fldCharType="end"/>
        </w:r>
      </w:p>
    </w:sdtContent>
  </w:sdt>
  <w:p w14:paraId="1A9E5CB1" w14:textId="77777777" w:rsidR="00A76B2E" w:rsidRDefault="00A7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8EF2" w14:textId="77777777" w:rsidR="002C2B2A" w:rsidRDefault="002C2B2A" w:rsidP="00A76B2E">
      <w:pPr>
        <w:spacing w:after="0" w:line="240" w:lineRule="auto"/>
      </w:pPr>
      <w:r>
        <w:separator/>
      </w:r>
    </w:p>
  </w:footnote>
  <w:footnote w:type="continuationSeparator" w:id="0">
    <w:p w14:paraId="43A16669" w14:textId="77777777" w:rsidR="002C2B2A" w:rsidRDefault="002C2B2A" w:rsidP="00A76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826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4C3C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CC8A6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4C14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50E0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5AB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F0B4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54DF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4E68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E219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903E83"/>
    <w:multiLevelType w:val="hybridMultilevel"/>
    <w:tmpl w:val="BBD0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62216">
    <w:abstractNumId w:val="9"/>
  </w:num>
  <w:num w:numId="2" w16cid:durableId="276718560">
    <w:abstractNumId w:val="7"/>
  </w:num>
  <w:num w:numId="3" w16cid:durableId="1086612493">
    <w:abstractNumId w:val="6"/>
  </w:num>
  <w:num w:numId="4" w16cid:durableId="1741059206">
    <w:abstractNumId w:val="5"/>
  </w:num>
  <w:num w:numId="5" w16cid:durableId="2118795250">
    <w:abstractNumId w:val="4"/>
  </w:num>
  <w:num w:numId="6" w16cid:durableId="418987529">
    <w:abstractNumId w:val="8"/>
  </w:num>
  <w:num w:numId="7" w16cid:durableId="1972902874">
    <w:abstractNumId w:val="3"/>
  </w:num>
  <w:num w:numId="8" w16cid:durableId="511728479">
    <w:abstractNumId w:val="2"/>
  </w:num>
  <w:num w:numId="9" w16cid:durableId="242958754">
    <w:abstractNumId w:val="1"/>
  </w:num>
  <w:num w:numId="10" w16cid:durableId="1952086296">
    <w:abstractNumId w:val="0"/>
  </w:num>
  <w:num w:numId="11" w16cid:durableId="185098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81"/>
    <w:rsid w:val="000178D6"/>
    <w:rsid w:val="0005068F"/>
    <w:rsid w:val="000D79F7"/>
    <w:rsid w:val="000F2E02"/>
    <w:rsid w:val="0010186B"/>
    <w:rsid w:val="0011652D"/>
    <w:rsid w:val="00166484"/>
    <w:rsid w:val="00174D96"/>
    <w:rsid w:val="0018762D"/>
    <w:rsid w:val="001A7E7D"/>
    <w:rsid w:val="001B67AD"/>
    <w:rsid w:val="001E78C1"/>
    <w:rsid w:val="001F4CBE"/>
    <w:rsid w:val="00200A0E"/>
    <w:rsid w:val="0020190A"/>
    <w:rsid w:val="00214642"/>
    <w:rsid w:val="00263030"/>
    <w:rsid w:val="002C2B2A"/>
    <w:rsid w:val="003623A9"/>
    <w:rsid w:val="003E3DAD"/>
    <w:rsid w:val="00413D99"/>
    <w:rsid w:val="00417253"/>
    <w:rsid w:val="0046132B"/>
    <w:rsid w:val="0046734F"/>
    <w:rsid w:val="00467E9A"/>
    <w:rsid w:val="004746EC"/>
    <w:rsid w:val="004B6E81"/>
    <w:rsid w:val="004C6571"/>
    <w:rsid w:val="004F2D3C"/>
    <w:rsid w:val="00532553"/>
    <w:rsid w:val="0058574F"/>
    <w:rsid w:val="005A15BD"/>
    <w:rsid w:val="005A5106"/>
    <w:rsid w:val="005B208B"/>
    <w:rsid w:val="005F667C"/>
    <w:rsid w:val="0060204A"/>
    <w:rsid w:val="006256A0"/>
    <w:rsid w:val="00666E77"/>
    <w:rsid w:val="00674A0A"/>
    <w:rsid w:val="006776DE"/>
    <w:rsid w:val="006B0842"/>
    <w:rsid w:val="006C0DE2"/>
    <w:rsid w:val="00770CC9"/>
    <w:rsid w:val="007C45BA"/>
    <w:rsid w:val="008E4C0B"/>
    <w:rsid w:val="008F6F30"/>
    <w:rsid w:val="00911192"/>
    <w:rsid w:val="00915128"/>
    <w:rsid w:val="009178D0"/>
    <w:rsid w:val="009202F4"/>
    <w:rsid w:val="009228C7"/>
    <w:rsid w:val="009E5A02"/>
    <w:rsid w:val="00A10D54"/>
    <w:rsid w:val="00A76B2E"/>
    <w:rsid w:val="00A86E4F"/>
    <w:rsid w:val="00A96348"/>
    <w:rsid w:val="00AF4485"/>
    <w:rsid w:val="00B10A7E"/>
    <w:rsid w:val="00B62D9B"/>
    <w:rsid w:val="00B913F4"/>
    <w:rsid w:val="00B93D88"/>
    <w:rsid w:val="00BB4E3A"/>
    <w:rsid w:val="00BC3B5B"/>
    <w:rsid w:val="00BE100F"/>
    <w:rsid w:val="00BE3502"/>
    <w:rsid w:val="00C209CB"/>
    <w:rsid w:val="00C227F9"/>
    <w:rsid w:val="00CD6481"/>
    <w:rsid w:val="00D2472D"/>
    <w:rsid w:val="00D52956"/>
    <w:rsid w:val="00D61557"/>
    <w:rsid w:val="00D64E56"/>
    <w:rsid w:val="00DF298D"/>
    <w:rsid w:val="00E7210D"/>
    <w:rsid w:val="00EA28B7"/>
    <w:rsid w:val="00EB3C3F"/>
    <w:rsid w:val="00EB5ACA"/>
    <w:rsid w:val="00EE3F09"/>
    <w:rsid w:val="00F40728"/>
    <w:rsid w:val="00F4566F"/>
    <w:rsid w:val="00F606BC"/>
    <w:rsid w:val="00F6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E033"/>
  <w15:docId w15:val="{F02937A0-0FAF-476E-A0B7-33ADE733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08B"/>
    <w:rPr>
      <w:rFonts w:ascii="Arial" w:hAnsi="Arial"/>
    </w:rPr>
  </w:style>
  <w:style w:type="paragraph" w:styleId="Heading1">
    <w:name w:val="heading 1"/>
    <w:basedOn w:val="Normal"/>
    <w:next w:val="Normal"/>
    <w:link w:val="Heading1Char"/>
    <w:uiPriority w:val="9"/>
    <w:qFormat/>
    <w:rsid w:val="005B208B"/>
    <w:pPr>
      <w:keepNext/>
      <w:keepLines/>
      <w:spacing w:before="240" w:after="0"/>
      <w:outlineLvl w:val="0"/>
    </w:pPr>
    <w:rPr>
      <w:rFonts w:eastAsiaTheme="majorEastAsia" w:cstheme="majorBidi"/>
      <w:b/>
      <w:color w:val="2F5496" w:themeColor="accent1" w:themeShade="BF"/>
      <w:sz w:val="24"/>
      <w:szCs w:val="32"/>
    </w:rPr>
  </w:style>
  <w:style w:type="paragraph" w:styleId="Heading2">
    <w:name w:val="heading 2"/>
    <w:basedOn w:val="Normal"/>
    <w:next w:val="Normal"/>
    <w:link w:val="Heading2Char"/>
    <w:uiPriority w:val="9"/>
    <w:unhideWhenUsed/>
    <w:qFormat/>
    <w:rsid w:val="005B208B"/>
    <w:pPr>
      <w:keepNext/>
      <w:keepLines/>
      <w:spacing w:before="40" w:after="0"/>
      <w:outlineLvl w:val="1"/>
    </w:pPr>
    <w:rPr>
      <w:rFonts w:eastAsiaTheme="majorEastAsia" w:cstheme="majorBidi"/>
      <w:b/>
      <w:szCs w:val="28"/>
    </w:rPr>
  </w:style>
  <w:style w:type="paragraph" w:styleId="Heading3">
    <w:name w:val="heading 3"/>
    <w:basedOn w:val="Normal"/>
    <w:next w:val="Normal"/>
    <w:link w:val="Heading3Char"/>
    <w:uiPriority w:val="9"/>
    <w:semiHidden/>
    <w:unhideWhenUsed/>
    <w:qFormat/>
    <w:rsid w:val="005B208B"/>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5B208B"/>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5B208B"/>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5B208B"/>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5B208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5B208B"/>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5B208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B6E81"/>
    <w:pPr>
      <w:spacing w:after="0" w:line="240" w:lineRule="auto"/>
    </w:pPr>
  </w:style>
  <w:style w:type="character" w:styleId="CommentReference">
    <w:name w:val="annotation reference"/>
    <w:basedOn w:val="DefaultParagraphFont"/>
    <w:uiPriority w:val="99"/>
    <w:semiHidden/>
    <w:unhideWhenUsed/>
    <w:rsid w:val="004B6E81"/>
    <w:rPr>
      <w:sz w:val="16"/>
      <w:szCs w:val="16"/>
    </w:rPr>
  </w:style>
  <w:style w:type="paragraph" w:styleId="CommentText">
    <w:name w:val="annotation text"/>
    <w:basedOn w:val="Normal"/>
    <w:link w:val="CommentTextChar"/>
    <w:uiPriority w:val="99"/>
    <w:unhideWhenUsed/>
    <w:rsid w:val="004B6E81"/>
    <w:pPr>
      <w:spacing w:line="240" w:lineRule="auto"/>
    </w:pPr>
    <w:rPr>
      <w:sz w:val="20"/>
      <w:szCs w:val="20"/>
    </w:rPr>
  </w:style>
  <w:style w:type="character" w:customStyle="1" w:styleId="CommentTextChar">
    <w:name w:val="Comment Text Char"/>
    <w:basedOn w:val="DefaultParagraphFont"/>
    <w:link w:val="CommentText"/>
    <w:uiPriority w:val="99"/>
    <w:rsid w:val="004B6E81"/>
    <w:rPr>
      <w:sz w:val="20"/>
      <w:szCs w:val="20"/>
    </w:rPr>
  </w:style>
  <w:style w:type="paragraph" w:styleId="CommentSubject">
    <w:name w:val="annotation subject"/>
    <w:basedOn w:val="CommentText"/>
    <w:next w:val="CommentText"/>
    <w:link w:val="CommentSubjectChar"/>
    <w:uiPriority w:val="99"/>
    <w:semiHidden/>
    <w:unhideWhenUsed/>
    <w:rsid w:val="004B6E81"/>
    <w:rPr>
      <w:b/>
      <w:bCs/>
    </w:rPr>
  </w:style>
  <w:style w:type="character" w:customStyle="1" w:styleId="CommentSubjectChar">
    <w:name w:val="Comment Subject Char"/>
    <w:basedOn w:val="CommentTextChar"/>
    <w:link w:val="CommentSubject"/>
    <w:uiPriority w:val="99"/>
    <w:semiHidden/>
    <w:rsid w:val="004B6E81"/>
    <w:rPr>
      <w:b/>
      <w:bCs/>
      <w:sz w:val="20"/>
      <w:szCs w:val="20"/>
    </w:rPr>
  </w:style>
  <w:style w:type="table" w:styleId="TableGrid">
    <w:name w:val="Table Grid"/>
    <w:basedOn w:val="TableNormal"/>
    <w:uiPriority w:val="39"/>
    <w:rsid w:val="005B2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208B"/>
    <w:rPr>
      <w:rFonts w:ascii="Arial" w:eastAsiaTheme="majorEastAsia" w:hAnsi="Arial" w:cstheme="majorBidi"/>
      <w:b/>
      <w:color w:val="2F5496" w:themeColor="accent1" w:themeShade="BF"/>
      <w:sz w:val="24"/>
      <w:szCs w:val="32"/>
    </w:rPr>
  </w:style>
  <w:style w:type="character" w:customStyle="1" w:styleId="Heading2Char">
    <w:name w:val="Heading 2 Char"/>
    <w:basedOn w:val="DefaultParagraphFont"/>
    <w:link w:val="Heading2"/>
    <w:uiPriority w:val="9"/>
    <w:rsid w:val="005B208B"/>
    <w:rPr>
      <w:rFonts w:ascii="Arial" w:eastAsiaTheme="majorEastAsia" w:hAnsi="Arial" w:cstheme="majorBidi"/>
      <w:b/>
      <w:szCs w:val="28"/>
    </w:rPr>
  </w:style>
  <w:style w:type="character" w:customStyle="1" w:styleId="Heading3Char">
    <w:name w:val="Heading 3 Char"/>
    <w:basedOn w:val="DefaultParagraphFont"/>
    <w:link w:val="Heading3"/>
    <w:uiPriority w:val="9"/>
    <w:semiHidden/>
    <w:rsid w:val="005B208B"/>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5B208B"/>
    <w:rPr>
      <w:i/>
      <w:iCs/>
    </w:rPr>
  </w:style>
  <w:style w:type="character" w:customStyle="1" w:styleId="Heading5Char">
    <w:name w:val="Heading 5 Char"/>
    <w:basedOn w:val="DefaultParagraphFont"/>
    <w:link w:val="Heading5"/>
    <w:uiPriority w:val="9"/>
    <w:semiHidden/>
    <w:rsid w:val="005B208B"/>
    <w:rPr>
      <w:color w:val="2F5496" w:themeColor="accent1" w:themeShade="BF"/>
    </w:rPr>
  </w:style>
  <w:style w:type="character" w:customStyle="1" w:styleId="Heading6Char">
    <w:name w:val="Heading 6 Char"/>
    <w:basedOn w:val="DefaultParagraphFont"/>
    <w:link w:val="Heading6"/>
    <w:uiPriority w:val="9"/>
    <w:semiHidden/>
    <w:rsid w:val="005B208B"/>
    <w:rPr>
      <w:color w:val="1F3864" w:themeColor="accent1" w:themeShade="80"/>
    </w:rPr>
  </w:style>
  <w:style w:type="character" w:customStyle="1" w:styleId="Heading7Char">
    <w:name w:val="Heading 7 Char"/>
    <w:basedOn w:val="DefaultParagraphFont"/>
    <w:link w:val="Heading7"/>
    <w:uiPriority w:val="9"/>
    <w:semiHidden/>
    <w:rsid w:val="005B208B"/>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5B208B"/>
    <w:rPr>
      <w:color w:val="262626" w:themeColor="text1" w:themeTint="D9"/>
      <w:sz w:val="21"/>
      <w:szCs w:val="21"/>
    </w:rPr>
  </w:style>
  <w:style w:type="character" w:customStyle="1" w:styleId="Heading9Char">
    <w:name w:val="Heading 9 Char"/>
    <w:basedOn w:val="DefaultParagraphFont"/>
    <w:link w:val="Heading9"/>
    <w:uiPriority w:val="9"/>
    <w:semiHidden/>
    <w:rsid w:val="005B208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B208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B208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B208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B208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B208B"/>
    <w:rPr>
      <w:color w:val="5A5A5A" w:themeColor="text1" w:themeTint="A5"/>
      <w:spacing w:val="15"/>
    </w:rPr>
  </w:style>
  <w:style w:type="character" w:styleId="Strong">
    <w:name w:val="Strong"/>
    <w:basedOn w:val="DefaultParagraphFont"/>
    <w:uiPriority w:val="22"/>
    <w:qFormat/>
    <w:rsid w:val="005B208B"/>
    <w:rPr>
      <w:b/>
      <w:bCs/>
      <w:color w:val="auto"/>
    </w:rPr>
  </w:style>
  <w:style w:type="character" w:styleId="Emphasis">
    <w:name w:val="Emphasis"/>
    <w:basedOn w:val="DefaultParagraphFont"/>
    <w:uiPriority w:val="20"/>
    <w:qFormat/>
    <w:rsid w:val="005B208B"/>
    <w:rPr>
      <w:i/>
      <w:iCs/>
      <w:color w:val="auto"/>
    </w:rPr>
  </w:style>
  <w:style w:type="paragraph" w:styleId="NoSpacing">
    <w:name w:val="No Spacing"/>
    <w:uiPriority w:val="1"/>
    <w:qFormat/>
    <w:rsid w:val="005B208B"/>
    <w:pPr>
      <w:spacing w:after="0" w:line="240" w:lineRule="auto"/>
    </w:pPr>
  </w:style>
  <w:style w:type="paragraph" w:styleId="Quote">
    <w:name w:val="Quote"/>
    <w:basedOn w:val="Normal"/>
    <w:next w:val="Normal"/>
    <w:link w:val="QuoteChar"/>
    <w:uiPriority w:val="29"/>
    <w:qFormat/>
    <w:rsid w:val="005B208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B208B"/>
    <w:rPr>
      <w:i/>
      <w:iCs/>
      <w:color w:val="404040" w:themeColor="text1" w:themeTint="BF"/>
    </w:rPr>
  </w:style>
  <w:style w:type="paragraph" w:styleId="IntenseQuote">
    <w:name w:val="Intense Quote"/>
    <w:basedOn w:val="Normal"/>
    <w:next w:val="Normal"/>
    <w:link w:val="IntenseQuoteChar"/>
    <w:uiPriority w:val="30"/>
    <w:qFormat/>
    <w:rsid w:val="005B208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B208B"/>
    <w:rPr>
      <w:i/>
      <w:iCs/>
      <w:color w:val="4472C4" w:themeColor="accent1"/>
    </w:rPr>
  </w:style>
  <w:style w:type="character" w:styleId="SubtleEmphasis">
    <w:name w:val="Subtle Emphasis"/>
    <w:basedOn w:val="DefaultParagraphFont"/>
    <w:uiPriority w:val="19"/>
    <w:qFormat/>
    <w:rsid w:val="005B208B"/>
    <w:rPr>
      <w:i/>
      <w:iCs/>
      <w:color w:val="404040" w:themeColor="text1" w:themeTint="BF"/>
    </w:rPr>
  </w:style>
  <w:style w:type="character" w:styleId="IntenseEmphasis">
    <w:name w:val="Intense Emphasis"/>
    <w:basedOn w:val="DefaultParagraphFont"/>
    <w:uiPriority w:val="21"/>
    <w:qFormat/>
    <w:rsid w:val="005B208B"/>
    <w:rPr>
      <w:i/>
      <w:iCs/>
      <w:color w:val="4472C4" w:themeColor="accent1"/>
    </w:rPr>
  </w:style>
  <w:style w:type="character" w:styleId="SubtleReference">
    <w:name w:val="Subtle Reference"/>
    <w:basedOn w:val="DefaultParagraphFont"/>
    <w:uiPriority w:val="31"/>
    <w:qFormat/>
    <w:rsid w:val="005B208B"/>
    <w:rPr>
      <w:smallCaps/>
      <w:color w:val="404040" w:themeColor="text1" w:themeTint="BF"/>
    </w:rPr>
  </w:style>
  <w:style w:type="character" w:styleId="IntenseReference">
    <w:name w:val="Intense Reference"/>
    <w:basedOn w:val="DefaultParagraphFont"/>
    <w:uiPriority w:val="32"/>
    <w:qFormat/>
    <w:rsid w:val="005B208B"/>
    <w:rPr>
      <w:b/>
      <w:bCs/>
      <w:smallCaps/>
      <w:color w:val="4472C4" w:themeColor="accent1"/>
      <w:spacing w:val="5"/>
    </w:rPr>
  </w:style>
  <w:style w:type="character" w:styleId="BookTitle">
    <w:name w:val="Book Title"/>
    <w:basedOn w:val="DefaultParagraphFont"/>
    <w:uiPriority w:val="33"/>
    <w:qFormat/>
    <w:rsid w:val="005B208B"/>
    <w:rPr>
      <w:b/>
      <w:bCs/>
      <w:i/>
      <w:iCs/>
      <w:spacing w:val="5"/>
    </w:rPr>
  </w:style>
  <w:style w:type="paragraph" w:styleId="TOCHeading">
    <w:name w:val="TOC Heading"/>
    <w:basedOn w:val="Heading1"/>
    <w:next w:val="Normal"/>
    <w:uiPriority w:val="39"/>
    <w:unhideWhenUsed/>
    <w:qFormat/>
    <w:rsid w:val="005B208B"/>
    <w:pPr>
      <w:outlineLvl w:val="9"/>
    </w:pPr>
  </w:style>
  <w:style w:type="paragraph" w:customStyle="1" w:styleId="DataDictionary">
    <w:name w:val="Data Dictionary"/>
    <w:basedOn w:val="Heading1"/>
    <w:link w:val="DataDictionaryChar"/>
    <w:rsid w:val="005B208B"/>
  </w:style>
  <w:style w:type="paragraph" w:styleId="TOC1">
    <w:name w:val="toc 1"/>
    <w:basedOn w:val="Normal"/>
    <w:next w:val="Normal"/>
    <w:autoRedefine/>
    <w:uiPriority w:val="39"/>
    <w:unhideWhenUsed/>
    <w:rsid w:val="00D64E56"/>
    <w:pPr>
      <w:spacing w:after="100"/>
    </w:pPr>
  </w:style>
  <w:style w:type="character" w:customStyle="1" w:styleId="DataDictionaryChar">
    <w:name w:val="Data Dictionary Char"/>
    <w:basedOn w:val="Heading1Char"/>
    <w:link w:val="DataDictionary"/>
    <w:rsid w:val="005B208B"/>
    <w:rPr>
      <w:rFonts w:ascii="Arial" w:eastAsiaTheme="majorEastAsia" w:hAnsi="Arial" w:cstheme="majorBidi"/>
      <w:b/>
      <w:color w:val="2F5496" w:themeColor="accent1" w:themeShade="BF"/>
      <w:sz w:val="24"/>
      <w:szCs w:val="32"/>
    </w:rPr>
  </w:style>
  <w:style w:type="paragraph" w:styleId="TOC2">
    <w:name w:val="toc 2"/>
    <w:basedOn w:val="Normal"/>
    <w:next w:val="Normal"/>
    <w:autoRedefine/>
    <w:uiPriority w:val="39"/>
    <w:unhideWhenUsed/>
    <w:rsid w:val="00D64E56"/>
    <w:pPr>
      <w:spacing w:after="100"/>
      <w:ind w:left="220"/>
    </w:pPr>
  </w:style>
  <w:style w:type="character" w:styleId="Hyperlink">
    <w:name w:val="Hyperlink"/>
    <w:basedOn w:val="DefaultParagraphFont"/>
    <w:uiPriority w:val="99"/>
    <w:unhideWhenUsed/>
    <w:rsid w:val="00D64E56"/>
    <w:rPr>
      <w:color w:val="0563C1" w:themeColor="hyperlink"/>
      <w:u w:val="single"/>
    </w:rPr>
  </w:style>
  <w:style w:type="paragraph" w:styleId="Header">
    <w:name w:val="header"/>
    <w:basedOn w:val="Normal"/>
    <w:link w:val="HeaderChar"/>
    <w:uiPriority w:val="99"/>
    <w:unhideWhenUsed/>
    <w:rsid w:val="00A76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B2E"/>
    <w:rPr>
      <w:rFonts w:ascii="Arial" w:hAnsi="Arial"/>
    </w:rPr>
  </w:style>
  <w:style w:type="paragraph" w:styleId="Footer">
    <w:name w:val="footer"/>
    <w:basedOn w:val="Normal"/>
    <w:link w:val="FooterChar"/>
    <w:uiPriority w:val="99"/>
    <w:unhideWhenUsed/>
    <w:rsid w:val="00A76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B2E"/>
    <w:rPr>
      <w:rFonts w:ascii="Arial" w:hAnsi="Arial"/>
    </w:rPr>
  </w:style>
  <w:style w:type="paragraph" w:styleId="ListParagraph">
    <w:name w:val="List Paragraph"/>
    <w:basedOn w:val="Normal"/>
    <w:uiPriority w:val="34"/>
    <w:qFormat/>
    <w:rsid w:val="00677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7173">
      <w:bodyDiv w:val="1"/>
      <w:marLeft w:val="0"/>
      <w:marRight w:val="0"/>
      <w:marTop w:val="0"/>
      <w:marBottom w:val="0"/>
      <w:divBdr>
        <w:top w:val="none" w:sz="0" w:space="0" w:color="auto"/>
        <w:left w:val="none" w:sz="0" w:space="0" w:color="auto"/>
        <w:bottom w:val="none" w:sz="0" w:space="0" w:color="auto"/>
        <w:right w:val="none" w:sz="0" w:space="0" w:color="auto"/>
      </w:divBdr>
    </w:div>
    <w:div w:id="263348592">
      <w:bodyDiv w:val="1"/>
      <w:marLeft w:val="0"/>
      <w:marRight w:val="0"/>
      <w:marTop w:val="0"/>
      <w:marBottom w:val="0"/>
      <w:divBdr>
        <w:top w:val="none" w:sz="0" w:space="0" w:color="auto"/>
        <w:left w:val="none" w:sz="0" w:space="0" w:color="auto"/>
        <w:bottom w:val="none" w:sz="0" w:space="0" w:color="auto"/>
        <w:right w:val="none" w:sz="0" w:space="0" w:color="auto"/>
      </w:divBdr>
    </w:div>
    <w:div w:id="293677658">
      <w:bodyDiv w:val="1"/>
      <w:marLeft w:val="0"/>
      <w:marRight w:val="0"/>
      <w:marTop w:val="0"/>
      <w:marBottom w:val="0"/>
      <w:divBdr>
        <w:top w:val="none" w:sz="0" w:space="0" w:color="auto"/>
        <w:left w:val="none" w:sz="0" w:space="0" w:color="auto"/>
        <w:bottom w:val="none" w:sz="0" w:space="0" w:color="auto"/>
        <w:right w:val="none" w:sz="0" w:space="0" w:color="auto"/>
      </w:divBdr>
    </w:div>
    <w:div w:id="335616515">
      <w:bodyDiv w:val="1"/>
      <w:marLeft w:val="0"/>
      <w:marRight w:val="0"/>
      <w:marTop w:val="0"/>
      <w:marBottom w:val="0"/>
      <w:divBdr>
        <w:top w:val="none" w:sz="0" w:space="0" w:color="auto"/>
        <w:left w:val="none" w:sz="0" w:space="0" w:color="auto"/>
        <w:bottom w:val="none" w:sz="0" w:space="0" w:color="auto"/>
        <w:right w:val="none" w:sz="0" w:space="0" w:color="auto"/>
      </w:divBdr>
    </w:div>
    <w:div w:id="390466837">
      <w:bodyDiv w:val="1"/>
      <w:marLeft w:val="0"/>
      <w:marRight w:val="0"/>
      <w:marTop w:val="0"/>
      <w:marBottom w:val="0"/>
      <w:divBdr>
        <w:top w:val="none" w:sz="0" w:space="0" w:color="auto"/>
        <w:left w:val="none" w:sz="0" w:space="0" w:color="auto"/>
        <w:bottom w:val="none" w:sz="0" w:space="0" w:color="auto"/>
        <w:right w:val="none" w:sz="0" w:space="0" w:color="auto"/>
      </w:divBdr>
    </w:div>
    <w:div w:id="830173079">
      <w:bodyDiv w:val="1"/>
      <w:marLeft w:val="0"/>
      <w:marRight w:val="0"/>
      <w:marTop w:val="0"/>
      <w:marBottom w:val="0"/>
      <w:divBdr>
        <w:top w:val="none" w:sz="0" w:space="0" w:color="auto"/>
        <w:left w:val="none" w:sz="0" w:space="0" w:color="auto"/>
        <w:bottom w:val="none" w:sz="0" w:space="0" w:color="auto"/>
        <w:right w:val="none" w:sz="0" w:space="0" w:color="auto"/>
      </w:divBdr>
    </w:div>
    <w:div w:id="923614218">
      <w:bodyDiv w:val="1"/>
      <w:marLeft w:val="0"/>
      <w:marRight w:val="0"/>
      <w:marTop w:val="0"/>
      <w:marBottom w:val="0"/>
      <w:divBdr>
        <w:top w:val="none" w:sz="0" w:space="0" w:color="auto"/>
        <w:left w:val="none" w:sz="0" w:space="0" w:color="auto"/>
        <w:bottom w:val="none" w:sz="0" w:space="0" w:color="auto"/>
        <w:right w:val="none" w:sz="0" w:space="0" w:color="auto"/>
      </w:divBdr>
    </w:div>
    <w:div w:id="1050767573">
      <w:bodyDiv w:val="1"/>
      <w:marLeft w:val="0"/>
      <w:marRight w:val="0"/>
      <w:marTop w:val="0"/>
      <w:marBottom w:val="0"/>
      <w:divBdr>
        <w:top w:val="none" w:sz="0" w:space="0" w:color="auto"/>
        <w:left w:val="none" w:sz="0" w:space="0" w:color="auto"/>
        <w:bottom w:val="none" w:sz="0" w:space="0" w:color="auto"/>
        <w:right w:val="none" w:sz="0" w:space="0" w:color="auto"/>
      </w:divBdr>
    </w:div>
    <w:div w:id="1491873889">
      <w:bodyDiv w:val="1"/>
      <w:marLeft w:val="0"/>
      <w:marRight w:val="0"/>
      <w:marTop w:val="0"/>
      <w:marBottom w:val="0"/>
      <w:divBdr>
        <w:top w:val="none" w:sz="0" w:space="0" w:color="auto"/>
        <w:left w:val="none" w:sz="0" w:space="0" w:color="auto"/>
        <w:bottom w:val="none" w:sz="0" w:space="0" w:color="auto"/>
        <w:right w:val="none" w:sz="0" w:space="0" w:color="auto"/>
      </w:divBdr>
    </w:div>
    <w:div w:id="1501775023">
      <w:bodyDiv w:val="1"/>
      <w:marLeft w:val="0"/>
      <w:marRight w:val="0"/>
      <w:marTop w:val="0"/>
      <w:marBottom w:val="0"/>
      <w:divBdr>
        <w:top w:val="none" w:sz="0" w:space="0" w:color="auto"/>
        <w:left w:val="none" w:sz="0" w:space="0" w:color="auto"/>
        <w:bottom w:val="none" w:sz="0" w:space="0" w:color="auto"/>
        <w:right w:val="none" w:sz="0" w:space="0" w:color="auto"/>
      </w:divBdr>
    </w:div>
    <w:div w:id="1579484527">
      <w:bodyDiv w:val="1"/>
      <w:marLeft w:val="0"/>
      <w:marRight w:val="0"/>
      <w:marTop w:val="0"/>
      <w:marBottom w:val="0"/>
      <w:divBdr>
        <w:top w:val="none" w:sz="0" w:space="0" w:color="auto"/>
        <w:left w:val="none" w:sz="0" w:space="0" w:color="auto"/>
        <w:bottom w:val="none" w:sz="0" w:space="0" w:color="auto"/>
        <w:right w:val="none" w:sz="0" w:space="0" w:color="auto"/>
      </w:divBdr>
    </w:div>
    <w:div w:id="1650596834">
      <w:bodyDiv w:val="1"/>
      <w:marLeft w:val="0"/>
      <w:marRight w:val="0"/>
      <w:marTop w:val="0"/>
      <w:marBottom w:val="0"/>
      <w:divBdr>
        <w:top w:val="none" w:sz="0" w:space="0" w:color="auto"/>
        <w:left w:val="none" w:sz="0" w:space="0" w:color="auto"/>
        <w:bottom w:val="none" w:sz="0" w:space="0" w:color="auto"/>
        <w:right w:val="none" w:sz="0" w:space="0" w:color="auto"/>
      </w:divBdr>
    </w:div>
    <w:div w:id="1767537506">
      <w:bodyDiv w:val="1"/>
      <w:marLeft w:val="0"/>
      <w:marRight w:val="0"/>
      <w:marTop w:val="0"/>
      <w:marBottom w:val="0"/>
      <w:divBdr>
        <w:top w:val="none" w:sz="0" w:space="0" w:color="auto"/>
        <w:left w:val="none" w:sz="0" w:space="0" w:color="auto"/>
        <w:bottom w:val="none" w:sz="0" w:space="0" w:color="auto"/>
        <w:right w:val="none" w:sz="0" w:space="0" w:color="auto"/>
      </w:divBdr>
    </w:div>
    <w:div w:id="1779641374">
      <w:bodyDiv w:val="1"/>
      <w:marLeft w:val="0"/>
      <w:marRight w:val="0"/>
      <w:marTop w:val="0"/>
      <w:marBottom w:val="0"/>
      <w:divBdr>
        <w:top w:val="none" w:sz="0" w:space="0" w:color="auto"/>
        <w:left w:val="none" w:sz="0" w:space="0" w:color="auto"/>
        <w:bottom w:val="none" w:sz="0" w:space="0" w:color="auto"/>
        <w:right w:val="none" w:sz="0" w:space="0" w:color="auto"/>
      </w:divBdr>
    </w:div>
    <w:div w:id="1908295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dcap.link/Case_Abstraction_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dcap.link/Case_Abstraction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75E2-1586-4CC4-8FAF-B476CA97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4130</Words>
  <Characters>23542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Horowitz, Jennifer</dc:creator>
  <cp:keywords/>
  <dc:description/>
  <cp:lastModifiedBy>Andrea White</cp:lastModifiedBy>
  <cp:revision>3</cp:revision>
  <dcterms:created xsi:type="dcterms:W3CDTF">2022-09-27T20:18:00Z</dcterms:created>
  <dcterms:modified xsi:type="dcterms:W3CDTF">2022-09-27T21:27:00Z</dcterms:modified>
</cp:coreProperties>
</file>