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347D6" w14:textId="77777777" w:rsidR="003F6EE3" w:rsidRDefault="003F6EE3" w:rsidP="003F6EE3">
      <w:pPr>
        <w:jc w:val="center"/>
      </w:pPr>
      <w:r>
        <w:rPr>
          <w:noProof/>
        </w:rPr>
        <w:drawing>
          <wp:anchor distT="0" distB="0" distL="114300" distR="114300" simplePos="0" relativeHeight="251659264" behindDoc="0" locked="0" layoutInCell="1" allowOverlap="1" wp14:anchorId="7BAB6B70" wp14:editId="424E8F00">
            <wp:simplePos x="0" y="0"/>
            <wp:positionH relativeFrom="margin">
              <wp:posOffset>1731645</wp:posOffset>
            </wp:positionH>
            <wp:positionV relativeFrom="margin">
              <wp:posOffset>-504730</wp:posOffset>
            </wp:positionV>
            <wp:extent cx="2514600" cy="754380"/>
            <wp:effectExtent l="0" t="0" r="0" b="0"/>
            <wp:wrapSquare wrapText="bothSides"/>
            <wp:docPr id="303801434" name="Picture 30380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514600" cy="754380"/>
                    </a:xfrm>
                    <a:prstGeom prst="rect">
                      <a:avLst/>
                    </a:prstGeom>
                  </pic:spPr>
                </pic:pic>
              </a:graphicData>
            </a:graphic>
          </wp:anchor>
        </w:drawing>
      </w:r>
    </w:p>
    <w:p w14:paraId="2E679AA2" w14:textId="4E50A736" w:rsidR="003F6EE3" w:rsidRPr="00D31AEA" w:rsidRDefault="003F6EE3" w:rsidP="003F6EE3">
      <w:pPr>
        <w:rPr>
          <w:rFonts w:asciiTheme="majorHAnsi" w:eastAsiaTheme="majorEastAsia" w:hAnsiTheme="majorHAnsi" w:cstheme="majorBidi"/>
          <w:b/>
          <w:bCs/>
          <w:color w:val="000000" w:themeColor="text1"/>
          <w:sz w:val="32"/>
          <w:szCs w:val="32"/>
        </w:rPr>
      </w:pPr>
      <w:r w:rsidRPr="00D31AEA">
        <w:rPr>
          <w:rFonts w:asciiTheme="majorHAnsi" w:eastAsiaTheme="majorEastAsia" w:hAnsiTheme="majorHAnsi" w:cstheme="majorBidi"/>
          <w:b/>
          <w:bCs/>
          <w:sz w:val="32"/>
          <w:szCs w:val="32"/>
        </w:rPr>
        <w:t xml:space="preserve">Hospital: </w:t>
      </w:r>
      <w:r w:rsidR="004D39E9">
        <w:rPr>
          <w:rFonts w:asciiTheme="majorHAnsi" w:eastAsiaTheme="majorEastAsia" w:hAnsiTheme="majorHAnsi" w:cstheme="majorBidi"/>
          <w:b/>
          <w:bCs/>
          <w:sz w:val="32"/>
          <w:szCs w:val="32"/>
        </w:rPr>
        <w:t xml:space="preserve">Bingham </w:t>
      </w:r>
    </w:p>
    <w:p w14:paraId="57A4140A" w14:textId="0FCEB090" w:rsidR="003F6EE3" w:rsidRPr="00735EE2" w:rsidRDefault="003F6EE3" w:rsidP="003F6EE3">
      <w:pPr>
        <w:rPr>
          <w:rFonts w:asciiTheme="majorHAnsi" w:eastAsiaTheme="majorEastAsia" w:hAnsiTheme="majorHAnsi" w:cstheme="majorBidi"/>
          <w:b/>
          <w:bCs/>
          <w:sz w:val="32"/>
          <w:szCs w:val="32"/>
        </w:rPr>
      </w:pPr>
      <w:r w:rsidRPr="00D31AEA">
        <w:rPr>
          <w:rFonts w:asciiTheme="majorHAnsi" w:eastAsiaTheme="majorEastAsia" w:hAnsiTheme="majorHAnsi" w:cstheme="majorBidi"/>
          <w:b/>
          <w:bCs/>
          <w:sz w:val="32"/>
          <w:szCs w:val="32"/>
        </w:rPr>
        <w:t xml:space="preserve">Presenter: </w:t>
      </w:r>
      <w:r w:rsidR="00735EE2" w:rsidRPr="00735EE2">
        <w:rPr>
          <w:rFonts w:asciiTheme="majorHAnsi" w:eastAsiaTheme="majorEastAsia" w:hAnsiTheme="majorHAnsi" w:cstheme="majorBidi"/>
          <w:b/>
          <w:bCs/>
          <w:sz w:val="32"/>
          <w:szCs w:val="32"/>
        </w:rPr>
        <w:t> </w:t>
      </w:r>
      <w:r w:rsidR="004D39E9">
        <w:rPr>
          <w:rFonts w:asciiTheme="majorHAnsi" w:eastAsiaTheme="majorEastAsia" w:hAnsiTheme="majorHAnsi" w:cstheme="majorBidi"/>
          <w:b/>
          <w:bCs/>
          <w:sz w:val="32"/>
          <w:szCs w:val="32"/>
        </w:rPr>
        <w:t>Wade Flowers</w:t>
      </w:r>
    </w:p>
    <w:p w14:paraId="6D4B717D" w14:textId="54F504EF" w:rsidR="004D39E9" w:rsidRPr="004D39E9" w:rsidRDefault="003F6EE3" w:rsidP="004D39E9">
      <w:pPr>
        <w:rPr>
          <w:rFonts w:asciiTheme="majorHAnsi" w:eastAsiaTheme="majorEastAsia" w:hAnsiTheme="majorHAnsi" w:cstheme="majorBidi"/>
          <w:color w:val="000000" w:themeColor="text1"/>
          <w:sz w:val="24"/>
          <w:szCs w:val="24"/>
        </w:rPr>
      </w:pPr>
      <w:r>
        <w:rPr>
          <w:rFonts w:asciiTheme="majorHAnsi" w:eastAsiaTheme="majorEastAsia" w:hAnsiTheme="majorHAnsi" w:cstheme="majorBidi"/>
          <w:color w:val="000000" w:themeColor="text1"/>
          <w:sz w:val="24"/>
          <w:szCs w:val="24"/>
        </w:rPr>
        <w:t xml:space="preserve">Question/case summary: </w:t>
      </w:r>
    </w:p>
    <w:p w14:paraId="780E3AB8" w14:textId="169DDC76" w:rsidR="004D39E9" w:rsidRDefault="004D39E9" w:rsidP="4D172883">
      <w:pPr>
        <w:rPr>
          <w:rFonts w:asciiTheme="majorHAnsi" w:eastAsiaTheme="majorEastAsia" w:hAnsiTheme="majorHAnsi" w:cstheme="majorBidi"/>
          <w:color w:val="000000" w:themeColor="text1"/>
          <w:sz w:val="24"/>
          <w:szCs w:val="24"/>
        </w:rPr>
      </w:pPr>
      <w:r w:rsidRPr="4D172883">
        <w:rPr>
          <w:rFonts w:asciiTheme="majorHAnsi" w:eastAsiaTheme="majorEastAsia" w:hAnsiTheme="majorHAnsi" w:cstheme="majorBidi"/>
          <w:color w:val="000000" w:themeColor="text1"/>
          <w:sz w:val="24"/>
          <w:szCs w:val="24"/>
        </w:rPr>
        <w:t>I hope this will be a rhetorical question for us - BUT, if we find ourselves in a position where all regional hospital beds are full, and we have symptomatic COVID-19 pts that have been triaged for palliative care at home, are there any protocols that are being used to mitigate COVID-19 progression ... ie. medications, monitoring parameters, etc, via telehealth? For example, are there medication protocols ... O2 Sat, BP, HR, RR, Temperature, LOC assessments, etc ... that can be reviewed daily (or BID, or more) with COVID patients? Would you provide O2 sat monitors ... Fitbit-type devices that monitor vital signs? ... or in a less dire situation with subcritical COVID patients?</w:t>
      </w:r>
    </w:p>
    <w:p w14:paraId="048DF4CD" w14:textId="77777777" w:rsidR="004D39E9" w:rsidRDefault="004D39E9" w:rsidP="004D39E9">
      <w:pPr>
        <w:rPr>
          <w:rFonts w:asciiTheme="majorHAnsi" w:eastAsiaTheme="majorEastAsia" w:hAnsiTheme="majorHAnsi" w:cstheme="majorBidi"/>
          <w:color w:val="000000" w:themeColor="text1"/>
          <w:sz w:val="24"/>
          <w:szCs w:val="24"/>
        </w:rPr>
      </w:pPr>
    </w:p>
    <w:p w14:paraId="6EBBECFE" w14:textId="54EF8A00" w:rsidR="003F6EE3" w:rsidRDefault="003F6EE3" w:rsidP="004D39E9">
      <w:pPr>
        <w:rPr>
          <w:rFonts w:asciiTheme="majorHAnsi" w:eastAsiaTheme="majorEastAsia" w:hAnsiTheme="majorHAnsi" w:cstheme="majorBidi"/>
          <w:color w:val="000000" w:themeColor="text1"/>
          <w:sz w:val="24"/>
          <w:szCs w:val="24"/>
        </w:rPr>
      </w:pPr>
      <w:r w:rsidRPr="042F2E54">
        <w:rPr>
          <w:rFonts w:asciiTheme="majorHAnsi" w:eastAsiaTheme="majorEastAsia" w:hAnsiTheme="majorHAnsi" w:cstheme="majorBidi"/>
          <w:color w:val="000000" w:themeColor="text1"/>
          <w:sz w:val="24"/>
          <w:szCs w:val="24"/>
        </w:rPr>
        <w:t>UW TASP Recommendations</w:t>
      </w:r>
      <w:r>
        <w:rPr>
          <w:rFonts w:asciiTheme="majorHAnsi" w:eastAsiaTheme="majorEastAsia" w:hAnsiTheme="majorHAnsi" w:cstheme="majorBidi"/>
          <w:color w:val="000000" w:themeColor="text1"/>
          <w:sz w:val="24"/>
          <w:szCs w:val="24"/>
        </w:rPr>
        <w:t xml:space="preserve">: </w:t>
      </w:r>
    </w:p>
    <w:p w14:paraId="3A7FB2ED" w14:textId="77777777" w:rsidR="003F6EE3" w:rsidRDefault="003F6EE3" w:rsidP="003F6EE3">
      <w:pPr>
        <w:pStyle w:val="paragraph"/>
        <w:spacing w:before="0" w:beforeAutospacing="0" w:after="0" w:afterAutospacing="0"/>
        <w:textAlignment w:val="baseline"/>
        <w:rPr>
          <w:rStyle w:val="normaltextrun"/>
          <w:rFonts w:ascii="Calibri" w:hAnsi="Calibri" w:cs="Segoe UI"/>
          <w:color w:val="000000"/>
        </w:rPr>
      </w:pPr>
    </w:p>
    <w:p w14:paraId="6D960DED" w14:textId="6B53DAC8" w:rsidR="7924E4F8" w:rsidRDefault="7924E4F8" w:rsidP="60B57C18">
      <w:r w:rsidRPr="60B57C18">
        <w:rPr>
          <w:color w:val="232323"/>
          <w:sz w:val="24"/>
          <w:szCs w:val="24"/>
        </w:rPr>
        <w:t>For patients with COVID-19 determined to be appropriate for home management with telehealth follow-up, the frequency of telehealth visits is determined by their risk for severe disease, severity of respiratory symptoms, and our comfort level with their ability to self-report worsening symptoms.</w:t>
      </w:r>
    </w:p>
    <w:p w14:paraId="4FDA9658" w14:textId="07958AE4" w:rsidR="46B11C04" w:rsidRDefault="46B11C04" w:rsidP="04B2A43F">
      <w:pPr>
        <w:rPr>
          <w:rFonts w:eastAsiaTheme="minorEastAsia"/>
          <w:color w:val="232323"/>
          <w:sz w:val="24"/>
          <w:szCs w:val="24"/>
        </w:rPr>
      </w:pPr>
      <w:r w:rsidRPr="04B2A43F">
        <w:rPr>
          <w:rFonts w:ascii="Calibri" w:eastAsia="Calibri" w:hAnsi="Calibri" w:cs="Calibri"/>
          <w:color w:val="232323"/>
          <w:sz w:val="24"/>
          <w:szCs w:val="24"/>
        </w:rPr>
        <w:t>For most patients, telehealth visits are scheduled on days 4, 7, and 10 (following the onset of clinical illness).</w:t>
      </w:r>
      <w:r w:rsidR="34FF9348" w:rsidRPr="04B2A43F">
        <w:rPr>
          <w:rFonts w:ascii="Calibri" w:eastAsia="Calibri" w:hAnsi="Calibri" w:cs="Calibri"/>
          <w:color w:val="232323"/>
          <w:sz w:val="24"/>
          <w:szCs w:val="24"/>
        </w:rPr>
        <w:t xml:space="preserve"> </w:t>
      </w:r>
      <w:r w:rsidRPr="04B2A43F">
        <w:rPr>
          <w:rFonts w:ascii="Calibri" w:eastAsia="Calibri" w:hAnsi="Calibri" w:cs="Calibri"/>
          <w:color w:val="232323"/>
          <w:sz w:val="24"/>
          <w:szCs w:val="24"/>
        </w:rPr>
        <w:t>However, for patients in whom we have the highest level of concern, we generally schedule the first follow-up telehealth visit within 24 hours. These include:</w:t>
      </w:r>
    </w:p>
    <w:p w14:paraId="4C96AAC0" w14:textId="2F9954D3" w:rsidR="46B11C04" w:rsidRDefault="46B11C04" w:rsidP="004B7AE8">
      <w:pPr>
        <w:pStyle w:val="ListParagraph"/>
        <w:numPr>
          <w:ilvl w:val="0"/>
          <w:numId w:val="3"/>
        </w:numPr>
        <w:rPr>
          <w:rFonts w:eastAsiaTheme="minorEastAsia"/>
          <w:color w:val="232323"/>
          <w:sz w:val="24"/>
          <w:szCs w:val="24"/>
        </w:rPr>
      </w:pPr>
      <w:r w:rsidRPr="04B2A43F">
        <w:rPr>
          <w:rFonts w:ascii="Calibri" w:eastAsia="Calibri" w:hAnsi="Calibri" w:cs="Calibri"/>
          <w:color w:val="232323"/>
          <w:sz w:val="24"/>
          <w:szCs w:val="24"/>
        </w:rPr>
        <w:t>Patients aged ≥65 years who have one or more established or possible risk factors for severe disease (</w:t>
      </w:r>
      <w:hyperlink r:id="rId9">
        <w:r w:rsidRPr="04B2A43F">
          <w:rPr>
            <w:rStyle w:val="Hyperlink"/>
            <w:rFonts w:ascii="Calibri" w:eastAsia="Calibri" w:hAnsi="Calibri" w:cs="Calibri"/>
            <w:color w:val="005B92"/>
            <w:sz w:val="24"/>
            <w:szCs w:val="24"/>
          </w:rPr>
          <w:t>table 1</w:t>
        </w:r>
      </w:hyperlink>
      <w:r w:rsidRPr="04B2A43F">
        <w:rPr>
          <w:rFonts w:ascii="Calibri" w:eastAsia="Calibri" w:hAnsi="Calibri" w:cs="Calibri"/>
          <w:color w:val="232323"/>
          <w:sz w:val="24"/>
          <w:szCs w:val="24"/>
        </w:rPr>
        <w:t xml:space="preserve">) </w:t>
      </w:r>
    </w:p>
    <w:p w14:paraId="082F1F33" w14:textId="2857E1D2" w:rsidR="46B11C04" w:rsidRDefault="46B11C04" w:rsidP="004B7AE8">
      <w:pPr>
        <w:pStyle w:val="ListParagraph"/>
        <w:numPr>
          <w:ilvl w:val="0"/>
          <w:numId w:val="3"/>
        </w:numPr>
        <w:rPr>
          <w:rFonts w:eastAsiaTheme="minorEastAsia"/>
          <w:color w:val="232323"/>
          <w:sz w:val="24"/>
          <w:szCs w:val="24"/>
        </w:rPr>
      </w:pPr>
      <w:r w:rsidRPr="04B2A43F">
        <w:rPr>
          <w:rFonts w:ascii="Calibri" w:eastAsia="Calibri" w:hAnsi="Calibri" w:cs="Calibri"/>
          <w:color w:val="232323"/>
          <w:sz w:val="24"/>
          <w:szCs w:val="24"/>
        </w:rPr>
        <w:t xml:space="preserve">Any patient with moderate dyspnea at the time of initial evaluation </w:t>
      </w:r>
    </w:p>
    <w:p w14:paraId="39BC3549" w14:textId="4E7EED7C" w:rsidR="46B11C04" w:rsidRDefault="46B11C04" w:rsidP="004B7AE8">
      <w:pPr>
        <w:pStyle w:val="ListParagraph"/>
        <w:numPr>
          <w:ilvl w:val="0"/>
          <w:numId w:val="3"/>
        </w:numPr>
        <w:rPr>
          <w:rFonts w:eastAsiaTheme="minorEastAsia"/>
          <w:color w:val="232323"/>
          <w:sz w:val="24"/>
          <w:szCs w:val="24"/>
        </w:rPr>
      </w:pPr>
      <w:r w:rsidRPr="04B2A43F">
        <w:rPr>
          <w:rFonts w:ascii="Calibri" w:eastAsia="Calibri" w:hAnsi="Calibri" w:cs="Calibri"/>
          <w:color w:val="232323"/>
          <w:sz w:val="24"/>
          <w:szCs w:val="24"/>
        </w:rPr>
        <w:t>Patients who would be possible candidates for inpatient admission but are being managed at home due to limited hospital resources and capacity</w:t>
      </w:r>
    </w:p>
    <w:p w14:paraId="538C7848" w14:textId="766990B9" w:rsidR="46B11C04" w:rsidRDefault="46B11C04" w:rsidP="004B7AE8">
      <w:pPr>
        <w:pStyle w:val="ListParagraph"/>
        <w:numPr>
          <w:ilvl w:val="0"/>
          <w:numId w:val="3"/>
        </w:numPr>
        <w:rPr>
          <w:rFonts w:eastAsiaTheme="minorEastAsia"/>
          <w:color w:val="232323"/>
          <w:sz w:val="24"/>
          <w:szCs w:val="24"/>
        </w:rPr>
      </w:pPr>
      <w:r w:rsidRPr="04B2A43F">
        <w:rPr>
          <w:rFonts w:ascii="Calibri" w:eastAsia="Calibri" w:hAnsi="Calibri" w:cs="Calibri"/>
          <w:color w:val="232323"/>
          <w:sz w:val="24"/>
          <w:szCs w:val="24"/>
        </w:rPr>
        <w:t>Patients who we feel may not reliably report a deterioration in symptoms</w:t>
      </w:r>
    </w:p>
    <w:p w14:paraId="4BC6E51D" w14:textId="2F06900B" w:rsidR="46B11C04" w:rsidRDefault="46B11C04" w:rsidP="60B57C18">
      <w:r w:rsidRPr="60B57C18">
        <w:rPr>
          <w:rFonts w:ascii="Calibri" w:eastAsia="Calibri" w:hAnsi="Calibri" w:cs="Calibri"/>
          <w:color w:val="232323"/>
          <w:sz w:val="24"/>
          <w:szCs w:val="24"/>
        </w:rPr>
        <w:t>For these patients, the frequency of subsequent telehealth visits can be reduced to every other day if the patient remains clinically stable.</w:t>
      </w:r>
    </w:p>
    <w:p w14:paraId="73CF6929" w14:textId="1C21A240" w:rsidR="60B57C18" w:rsidRDefault="60B57C18" w:rsidP="60B57C18">
      <w:pPr>
        <w:rPr>
          <w:color w:val="232323"/>
          <w:sz w:val="24"/>
          <w:szCs w:val="24"/>
        </w:rPr>
      </w:pPr>
    </w:p>
    <w:p w14:paraId="657DB4BF" w14:textId="1E0A8694" w:rsidR="60B57C18" w:rsidRDefault="60B57C18" w:rsidP="60B57C18">
      <w:pPr>
        <w:pStyle w:val="paragraph"/>
        <w:spacing w:before="0" w:beforeAutospacing="0" w:after="0" w:afterAutospacing="0"/>
        <w:rPr>
          <w:rStyle w:val="normaltextrun"/>
          <w:rFonts w:ascii="Calibri" w:hAnsi="Calibri" w:cs="Segoe UI"/>
          <w:color w:val="000000" w:themeColor="text1"/>
        </w:rPr>
      </w:pPr>
    </w:p>
    <w:p w14:paraId="2B62DDB1" w14:textId="77777777" w:rsidR="003F6EE3" w:rsidRDefault="003F6EE3" w:rsidP="003F6EE3">
      <w:pPr>
        <w:pStyle w:val="paragraph"/>
        <w:spacing w:before="0" w:beforeAutospacing="0" w:after="0" w:afterAutospacing="0"/>
        <w:textAlignment w:val="baseline"/>
        <w:rPr>
          <w:rStyle w:val="normaltextrun"/>
          <w:rFonts w:ascii="Calibri" w:hAnsi="Calibri" w:cs="Segoe UI"/>
          <w:color w:val="000000"/>
        </w:rPr>
      </w:pPr>
    </w:p>
    <w:p w14:paraId="0ADF88A0" w14:textId="77777777" w:rsidR="003F6EE3" w:rsidRDefault="003F6EE3" w:rsidP="003F6EE3">
      <w:pPr>
        <w:pStyle w:val="paragraph"/>
        <w:spacing w:before="0" w:beforeAutospacing="0" w:after="0" w:afterAutospacing="0"/>
        <w:textAlignment w:val="baseline"/>
        <w:rPr>
          <w:rStyle w:val="normaltextrun"/>
          <w:rFonts w:ascii="Calibri" w:hAnsi="Calibri" w:cs="Segoe UI"/>
          <w:color w:val="000000"/>
        </w:rPr>
      </w:pPr>
    </w:p>
    <w:p w14:paraId="3B28B798" w14:textId="4C4B4577" w:rsidR="003F6EE3" w:rsidRDefault="7B614045" w:rsidP="60B57C18">
      <w:pPr>
        <w:spacing w:after="0"/>
        <w:textAlignment w:val="baseline"/>
      </w:pPr>
      <w:r w:rsidRPr="60B57C18">
        <w:rPr>
          <w:color w:val="232323"/>
          <w:sz w:val="24"/>
          <w:szCs w:val="24"/>
        </w:rPr>
        <w:lastRenderedPageBreak/>
        <w:t>If a patient with COVID-19 has access to a reliable pulse oximeter at home, and can adequately measure and report the results to the clinician, measurement of oxygen saturation can be used as an additional piece of information to assess their clinical status. Patients are advised to use their pulse oximeter on warm fingers, as readings obtained on cold digits may not be as accurate. In the outpatient setting, we instruct patients to check their oximetry twice daily and inform us if the value drops below 95 percent.</w:t>
      </w:r>
    </w:p>
    <w:p w14:paraId="4CE637CC" w14:textId="4AE211E0" w:rsidR="003F6EE3" w:rsidRPr="004B7AE8" w:rsidRDefault="7B614045" w:rsidP="004B7AE8">
      <w:pPr>
        <w:pStyle w:val="ListParagraph"/>
        <w:numPr>
          <w:ilvl w:val="0"/>
          <w:numId w:val="1"/>
        </w:numPr>
        <w:spacing w:after="0"/>
        <w:textAlignment w:val="baseline"/>
        <w:rPr>
          <w:rFonts w:eastAsiaTheme="minorEastAsia"/>
          <w:color w:val="232323"/>
          <w:sz w:val="24"/>
          <w:szCs w:val="24"/>
        </w:rPr>
      </w:pPr>
      <w:r w:rsidRPr="004B7AE8">
        <w:rPr>
          <w:color w:val="232323"/>
          <w:sz w:val="24"/>
          <w:szCs w:val="24"/>
        </w:rPr>
        <w:t xml:space="preserve">For any patient with an oxygen saturation of ≤94 percent on room air, in-person evaluation is warranted. (See </w:t>
      </w:r>
      <w:hyperlink r:id="rId10" w:anchor="H805890178">
        <w:r w:rsidRPr="004B7AE8">
          <w:rPr>
            <w:rStyle w:val="Hyperlink"/>
            <w:color w:val="005B92"/>
            <w:sz w:val="24"/>
            <w:szCs w:val="24"/>
          </w:rPr>
          <w:t>'In-person evaluation for moderate/severe dyspnea, hypoxia, and concern for higher acuity level'</w:t>
        </w:r>
      </w:hyperlink>
      <w:r w:rsidRPr="004B7AE8">
        <w:rPr>
          <w:color w:val="232323"/>
          <w:sz w:val="24"/>
          <w:szCs w:val="24"/>
        </w:rPr>
        <w:t xml:space="preserve"> below.)</w:t>
      </w:r>
    </w:p>
    <w:p w14:paraId="03F86991" w14:textId="5DD4A433" w:rsidR="003F6EE3" w:rsidRPr="004B7AE8" w:rsidRDefault="7B614045" w:rsidP="004B7AE8">
      <w:pPr>
        <w:pStyle w:val="ListParagraph"/>
        <w:numPr>
          <w:ilvl w:val="0"/>
          <w:numId w:val="1"/>
        </w:numPr>
        <w:spacing w:after="0"/>
        <w:textAlignment w:val="baseline"/>
        <w:rPr>
          <w:rFonts w:eastAsiaTheme="minorEastAsia"/>
          <w:color w:val="232323"/>
          <w:sz w:val="24"/>
          <w:szCs w:val="24"/>
        </w:rPr>
      </w:pPr>
      <w:r w:rsidRPr="004B7AE8">
        <w:rPr>
          <w:color w:val="232323"/>
          <w:sz w:val="24"/>
          <w:szCs w:val="24"/>
        </w:rPr>
        <w:t xml:space="preserve">For patients who have an oxygen saturation of ≥95 percent on room air, the decision on in-person evaluation depends on other clinical features such as severity of dyspnea, risk for severe disease, and assessment of overall acuity. (See </w:t>
      </w:r>
      <w:hyperlink r:id="rId11" w:anchor="H2942935602">
        <w:r w:rsidRPr="004B7AE8">
          <w:rPr>
            <w:rStyle w:val="Hyperlink"/>
            <w:color w:val="005B92"/>
            <w:sz w:val="24"/>
            <w:szCs w:val="24"/>
          </w:rPr>
          <w:t>'Determine if in-person evaluation warranted'</w:t>
        </w:r>
      </w:hyperlink>
      <w:r w:rsidRPr="004B7AE8">
        <w:rPr>
          <w:color w:val="232323"/>
          <w:sz w:val="24"/>
          <w:szCs w:val="24"/>
        </w:rPr>
        <w:t xml:space="preserve"> below.)</w:t>
      </w:r>
    </w:p>
    <w:p w14:paraId="3C8913E1" w14:textId="3054F487" w:rsidR="003F6EE3" w:rsidRPr="004B7AE8" w:rsidRDefault="003F6EE3" w:rsidP="60B57C18">
      <w:pPr>
        <w:pStyle w:val="paragraph"/>
        <w:spacing w:before="0" w:beforeAutospacing="0" w:after="0" w:afterAutospacing="0"/>
        <w:textAlignment w:val="baseline"/>
        <w:rPr>
          <w:rStyle w:val="normaltextrun"/>
          <w:rFonts w:ascii="Calibri" w:hAnsi="Calibri" w:cs="Segoe UI"/>
          <w:color w:val="000000"/>
        </w:rPr>
      </w:pPr>
    </w:p>
    <w:p w14:paraId="4966DFED" w14:textId="39275190" w:rsidR="13E1781A" w:rsidRPr="004B7AE8" w:rsidRDefault="13E1781A" w:rsidP="60B57C18">
      <w:r w:rsidRPr="004B7AE8">
        <w:rPr>
          <w:color w:val="232323"/>
          <w:sz w:val="24"/>
          <w:szCs w:val="24"/>
        </w:rPr>
        <w:t xml:space="preserve">Refer patients with </w:t>
      </w:r>
      <w:r w:rsidRPr="004B7AE8">
        <w:rPr>
          <w:b/>
          <w:bCs/>
          <w:color w:val="232323"/>
          <w:sz w:val="24"/>
          <w:szCs w:val="24"/>
        </w:rPr>
        <w:t>one or more</w:t>
      </w:r>
      <w:r w:rsidRPr="004B7AE8">
        <w:rPr>
          <w:color w:val="232323"/>
          <w:sz w:val="24"/>
          <w:szCs w:val="24"/>
        </w:rPr>
        <w:t xml:space="preserve"> of the following features to the ED for further management and likely hospital admission:</w:t>
      </w:r>
    </w:p>
    <w:p w14:paraId="450D5CD3" w14:textId="41AC32F6" w:rsidR="13E1781A" w:rsidRPr="004B7AE8" w:rsidRDefault="13E1781A" w:rsidP="004B7AE8">
      <w:pPr>
        <w:pStyle w:val="ListParagraph"/>
        <w:numPr>
          <w:ilvl w:val="0"/>
          <w:numId w:val="2"/>
        </w:numPr>
        <w:rPr>
          <w:rFonts w:eastAsiaTheme="minorEastAsia"/>
          <w:color w:val="232323"/>
          <w:sz w:val="24"/>
          <w:szCs w:val="24"/>
        </w:rPr>
      </w:pPr>
      <w:r w:rsidRPr="004B7AE8">
        <w:rPr>
          <w:color w:val="232323"/>
          <w:sz w:val="24"/>
          <w:szCs w:val="24"/>
        </w:rPr>
        <w:t xml:space="preserve">Severe dyspnea (dyspnea at rest, and interfering with the ability to speak in complete sentences) (see </w:t>
      </w:r>
      <w:hyperlink r:id="rId12" w:anchor="H3880176950">
        <w:r w:rsidRPr="004B7AE8">
          <w:rPr>
            <w:rStyle w:val="Hyperlink"/>
            <w:color w:val="005B92"/>
            <w:sz w:val="24"/>
            <w:szCs w:val="24"/>
          </w:rPr>
          <w:t>'Dyspnea assessment'</w:t>
        </w:r>
      </w:hyperlink>
      <w:r w:rsidRPr="004B7AE8">
        <w:rPr>
          <w:color w:val="232323"/>
          <w:sz w:val="24"/>
          <w:szCs w:val="24"/>
        </w:rPr>
        <w:t xml:space="preserve"> above)</w:t>
      </w:r>
    </w:p>
    <w:p w14:paraId="3693BE72" w14:textId="062BD991" w:rsidR="13E1781A" w:rsidRPr="004B7AE8" w:rsidRDefault="13E1781A" w:rsidP="004B7AE8">
      <w:pPr>
        <w:pStyle w:val="ListParagraph"/>
        <w:numPr>
          <w:ilvl w:val="0"/>
          <w:numId w:val="2"/>
        </w:numPr>
        <w:rPr>
          <w:rFonts w:eastAsiaTheme="minorEastAsia"/>
          <w:color w:val="232323"/>
          <w:sz w:val="24"/>
          <w:szCs w:val="24"/>
        </w:rPr>
      </w:pPr>
      <w:r w:rsidRPr="004B7AE8">
        <w:rPr>
          <w:color w:val="232323"/>
          <w:sz w:val="24"/>
          <w:szCs w:val="24"/>
        </w:rPr>
        <w:t xml:space="preserve">Oxygen saturation on room air of ≤90 percent, regardless of severity of dyspnea (see </w:t>
      </w:r>
      <w:hyperlink r:id="rId13" w:anchor="H3784056382">
        <w:r w:rsidRPr="004B7AE8">
          <w:rPr>
            <w:rStyle w:val="Hyperlink"/>
            <w:color w:val="005B92"/>
            <w:sz w:val="24"/>
            <w:szCs w:val="24"/>
          </w:rPr>
          <w:t>'Oxygenation assessment'</w:t>
        </w:r>
      </w:hyperlink>
      <w:r w:rsidRPr="004B7AE8">
        <w:rPr>
          <w:color w:val="232323"/>
          <w:sz w:val="24"/>
          <w:szCs w:val="24"/>
        </w:rPr>
        <w:t xml:space="preserve"> above)</w:t>
      </w:r>
    </w:p>
    <w:p w14:paraId="786B0B8E" w14:textId="5B464D1E" w:rsidR="13E1781A" w:rsidRPr="004B7AE8" w:rsidRDefault="13E1781A" w:rsidP="004B7AE8">
      <w:pPr>
        <w:pStyle w:val="ListParagraph"/>
        <w:numPr>
          <w:ilvl w:val="0"/>
          <w:numId w:val="2"/>
        </w:numPr>
        <w:rPr>
          <w:rFonts w:eastAsiaTheme="minorEastAsia"/>
          <w:color w:val="232323"/>
          <w:sz w:val="24"/>
          <w:szCs w:val="24"/>
        </w:rPr>
      </w:pPr>
      <w:r w:rsidRPr="004B7AE8">
        <w:rPr>
          <w:color w:val="232323"/>
          <w:sz w:val="24"/>
          <w:szCs w:val="24"/>
        </w:rPr>
        <w:t xml:space="preserve">Concerning alterations in mentation (eg, confusion, change in behavior, difficulty in rousing) or other signs and symptoms of hypoperfusion or hypoxia (eg, falls, hypotension, cyanosis, anuria, chest pain suggestive of acute coronary syndrome) (see </w:t>
      </w:r>
      <w:hyperlink r:id="rId14" w:anchor="H2200422604">
        <w:r w:rsidRPr="004B7AE8">
          <w:rPr>
            <w:rStyle w:val="Hyperlink"/>
            <w:color w:val="005B92"/>
            <w:sz w:val="24"/>
            <w:szCs w:val="24"/>
          </w:rPr>
          <w:t>'Assessment of overall acuity level'</w:t>
        </w:r>
      </w:hyperlink>
      <w:r w:rsidRPr="004B7AE8">
        <w:rPr>
          <w:color w:val="232323"/>
          <w:sz w:val="24"/>
          <w:szCs w:val="24"/>
        </w:rPr>
        <w:t xml:space="preserve"> above)</w:t>
      </w:r>
    </w:p>
    <w:p w14:paraId="2BBECC96" w14:textId="7190467E" w:rsidR="60B57C18" w:rsidRDefault="60B57C18" w:rsidP="60B57C18">
      <w:pPr>
        <w:rPr>
          <w:color w:val="232323"/>
          <w:sz w:val="24"/>
          <w:szCs w:val="24"/>
        </w:rPr>
      </w:pPr>
    </w:p>
    <w:p w14:paraId="43F9D84D" w14:textId="4C64872C" w:rsidR="4A5A1725" w:rsidRDefault="4A5A1725" w:rsidP="60B57C18">
      <w:pPr>
        <w:rPr>
          <w:color w:val="232323"/>
          <w:sz w:val="24"/>
          <w:szCs w:val="24"/>
        </w:rPr>
      </w:pPr>
      <w:r w:rsidRPr="60B57C18">
        <w:rPr>
          <w:color w:val="232323"/>
          <w:sz w:val="24"/>
          <w:szCs w:val="24"/>
        </w:rPr>
        <w:t>References:</w:t>
      </w:r>
    </w:p>
    <w:p w14:paraId="63E76F30" w14:textId="72E8762A" w:rsidR="348F0581" w:rsidRDefault="348F0581" w:rsidP="60B57C18">
      <w:pPr>
        <w:pStyle w:val="Heading1"/>
        <w:rPr>
          <w:color w:val="000000" w:themeColor="text1"/>
          <w:sz w:val="22"/>
          <w:szCs w:val="22"/>
        </w:rPr>
      </w:pPr>
      <w:r w:rsidRPr="60B57C18">
        <w:rPr>
          <w:color w:val="000000" w:themeColor="text1"/>
          <w:sz w:val="22"/>
          <w:szCs w:val="22"/>
        </w:rPr>
        <w:t>Interim Guidance for Implementing Home Care of People Not Requiring Hospitalization for Coronavirus Disease 2019 (COVID-19)</w:t>
      </w:r>
    </w:p>
    <w:p w14:paraId="3168904A" w14:textId="1439CAAE" w:rsidR="348F0581" w:rsidRDefault="348F0581" w:rsidP="60B57C18">
      <w:pPr>
        <w:pStyle w:val="paragraph"/>
        <w:spacing w:before="0" w:beforeAutospacing="0" w:after="0" w:afterAutospacing="0"/>
        <w:rPr>
          <w:rStyle w:val="normaltextrun"/>
          <w:rFonts w:ascii="Calibri" w:hAnsi="Calibri" w:cs="Segoe UI"/>
          <w:color w:val="000000" w:themeColor="text1"/>
          <w:sz w:val="22"/>
          <w:szCs w:val="22"/>
        </w:rPr>
      </w:pPr>
      <w:r w:rsidRPr="60B57C18">
        <w:rPr>
          <w:rStyle w:val="normaltextrun"/>
          <w:rFonts w:ascii="Calibri" w:hAnsi="Calibri" w:cs="Segoe UI"/>
          <w:color w:val="000000" w:themeColor="text1"/>
          <w:sz w:val="22"/>
          <w:szCs w:val="22"/>
        </w:rPr>
        <w:t>https://www-cdc-gov.offcampus.lib.washington.edu/coronavirus/2019-ncov/hcp/guidance-home-care.html</w:t>
      </w:r>
    </w:p>
    <w:p w14:paraId="71CC6997" w14:textId="77777777" w:rsidR="003F6EE3" w:rsidRDefault="003F6EE3" w:rsidP="60B57C18">
      <w:pPr>
        <w:pStyle w:val="paragraph"/>
        <w:spacing w:before="0" w:beforeAutospacing="0" w:after="0" w:afterAutospacing="0"/>
        <w:textAlignment w:val="baseline"/>
        <w:rPr>
          <w:rStyle w:val="normaltextrun"/>
          <w:rFonts w:ascii="Calibri" w:hAnsi="Calibri" w:cs="Segoe UI"/>
          <w:color w:val="000000"/>
        </w:rPr>
      </w:pPr>
    </w:p>
    <w:p w14:paraId="2292E427" w14:textId="128D93A6" w:rsidR="0BC5DFFF" w:rsidRDefault="0BC5DFFF" w:rsidP="60B57C18">
      <w:pPr>
        <w:pStyle w:val="paragraph"/>
        <w:spacing w:before="0" w:beforeAutospacing="0" w:after="0" w:afterAutospacing="0"/>
        <w:rPr>
          <w:rFonts w:asciiTheme="minorHAnsi" w:eastAsiaTheme="minorEastAsia" w:hAnsiTheme="minorHAnsi" w:cstheme="minorBidi"/>
          <w:b/>
          <w:bCs/>
          <w:color w:val="232323"/>
          <w:sz w:val="22"/>
          <w:szCs w:val="22"/>
        </w:rPr>
      </w:pPr>
      <w:r w:rsidRPr="60B57C18">
        <w:rPr>
          <w:rFonts w:asciiTheme="minorHAnsi" w:eastAsiaTheme="minorEastAsia" w:hAnsiTheme="minorHAnsi" w:cstheme="minorBidi"/>
          <w:b/>
          <w:bCs/>
          <w:color w:val="232323"/>
          <w:sz w:val="22"/>
          <w:szCs w:val="22"/>
        </w:rPr>
        <w:t>Coronavirus disease 2019 (COVID-19): Outpatient evaluation and management in adults</w:t>
      </w:r>
    </w:p>
    <w:p w14:paraId="49FBB14D" w14:textId="5428278C" w:rsidR="003F6EE3" w:rsidRDefault="65E2EF07" w:rsidP="60B57C18">
      <w:pPr>
        <w:pStyle w:val="paragraph"/>
        <w:spacing w:before="0" w:beforeAutospacing="0" w:after="0" w:afterAutospacing="0"/>
        <w:textAlignment w:val="baseline"/>
        <w:rPr>
          <w:rStyle w:val="normaltextrun"/>
          <w:rFonts w:asciiTheme="minorHAnsi" w:eastAsiaTheme="minorEastAsia" w:hAnsiTheme="minorHAnsi" w:cstheme="minorBidi"/>
          <w:color w:val="000000"/>
          <w:sz w:val="22"/>
          <w:szCs w:val="22"/>
        </w:rPr>
      </w:pPr>
      <w:r w:rsidRPr="60B57C18">
        <w:rPr>
          <w:rStyle w:val="normaltextrun"/>
          <w:rFonts w:asciiTheme="minorHAnsi" w:eastAsiaTheme="minorEastAsia" w:hAnsiTheme="minorHAnsi" w:cstheme="minorBidi"/>
          <w:color w:val="000000" w:themeColor="text1"/>
          <w:sz w:val="22"/>
          <w:szCs w:val="22"/>
        </w:rPr>
        <w:t>Up to Date</w:t>
      </w:r>
    </w:p>
    <w:p w14:paraId="5F80A123" w14:textId="77777777" w:rsidR="003F6EE3" w:rsidRDefault="003F6EE3" w:rsidP="003F6EE3">
      <w:pPr>
        <w:pStyle w:val="paragraph"/>
        <w:spacing w:before="0" w:beforeAutospacing="0" w:after="0" w:afterAutospacing="0"/>
        <w:textAlignment w:val="baseline"/>
        <w:rPr>
          <w:rStyle w:val="normaltextrun"/>
          <w:rFonts w:ascii="Calibri" w:hAnsi="Calibri" w:cs="Segoe UI"/>
          <w:color w:val="000000"/>
        </w:rPr>
      </w:pPr>
    </w:p>
    <w:p w14:paraId="64B29E8B" w14:textId="77777777" w:rsidR="003F6EE3" w:rsidRDefault="003F6EE3" w:rsidP="003F6EE3">
      <w:pPr>
        <w:pStyle w:val="paragraph"/>
        <w:spacing w:before="0" w:beforeAutospacing="0" w:after="0" w:afterAutospacing="0"/>
        <w:textAlignment w:val="baseline"/>
        <w:rPr>
          <w:rStyle w:val="normaltextrun"/>
          <w:rFonts w:ascii="Calibri" w:hAnsi="Calibri" w:cs="Segoe UI"/>
          <w:color w:val="000000"/>
        </w:rPr>
      </w:pPr>
    </w:p>
    <w:p w14:paraId="33792ABD" w14:textId="77777777" w:rsidR="003F6EE3" w:rsidRDefault="003F6EE3" w:rsidP="003F6EE3">
      <w:pPr>
        <w:pStyle w:val="paragraph"/>
        <w:spacing w:before="0" w:beforeAutospacing="0" w:after="0" w:afterAutospacing="0"/>
        <w:textAlignment w:val="baseline"/>
        <w:rPr>
          <w:rStyle w:val="normaltextrun"/>
          <w:rFonts w:ascii="Calibri" w:hAnsi="Calibri" w:cs="Segoe UI"/>
          <w:color w:val="000000"/>
        </w:rPr>
      </w:pPr>
    </w:p>
    <w:p w14:paraId="4A69723F" w14:textId="77777777" w:rsidR="003F6EE3" w:rsidRDefault="003F6EE3" w:rsidP="003F6EE3">
      <w:pPr>
        <w:pStyle w:val="paragraph"/>
        <w:spacing w:before="0" w:beforeAutospacing="0" w:after="0" w:afterAutospacing="0"/>
        <w:textAlignment w:val="baseline"/>
        <w:rPr>
          <w:rStyle w:val="normaltextrun"/>
          <w:rFonts w:ascii="Calibri" w:hAnsi="Calibri" w:cs="Segoe UI"/>
          <w:color w:val="000000"/>
        </w:rPr>
      </w:pPr>
    </w:p>
    <w:p w14:paraId="4A50AFB5" w14:textId="77777777" w:rsidR="003F6EE3" w:rsidRDefault="003F6EE3" w:rsidP="003F6EE3">
      <w:pPr>
        <w:pStyle w:val="paragraph"/>
        <w:spacing w:before="0" w:beforeAutospacing="0" w:after="0" w:afterAutospacing="0"/>
        <w:textAlignment w:val="baseline"/>
        <w:rPr>
          <w:rStyle w:val="normaltextrun"/>
          <w:rFonts w:ascii="Calibri" w:hAnsi="Calibri" w:cs="Segoe UI"/>
          <w:color w:val="000000"/>
        </w:rPr>
      </w:pPr>
    </w:p>
    <w:p w14:paraId="14717DE9" w14:textId="77777777" w:rsidR="003F6EE3" w:rsidRDefault="003F6EE3" w:rsidP="003F6EE3">
      <w:pPr>
        <w:pStyle w:val="paragraph"/>
        <w:spacing w:before="0" w:beforeAutospacing="0" w:after="0" w:afterAutospacing="0"/>
        <w:textAlignment w:val="baseline"/>
        <w:rPr>
          <w:rStyle w:val="normaltextrun"/>
          <w:rFonts w:ascii="Calibri" w:hAnsi="Calibri" w:cs="Segoe UI"/>
          <w:color w:val="000000"/>
        </w:rPr>
      </w:pPr>
    </w:p>
    <w:p w14:paraId="60F80E3D" w14:textId="77777777" w:rsidR="003F6EE3" w:rsidRDefault="003F6EE3" w:rsidP="003F6EE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color w:val="000000"/>
        </w:rPr>
        <w:lastRenderedPageBreak/>
        <w:t>On behalf of the UW TASP Specialist Team:  </w:t>
      </w:r>
      <w:r>
        <w:rPr>
          <w:rStyle w:val="normaltextrun"/>
          <w:rFonts w:ascii="Calibri" w:hAnsi="Calibri" w:cs="Segoe UI"/>
        </w:rPr>
        <w:t> </w:t>
      </w:r>
      <w:r>
        <w:rPr>
          <w:rStyle w:val="eop"/>
          <w:rFonts w:ascii="Calibri" w:hAnsi="Calibri" w:cs="Segoe UI"/>
        </w:rPr>
        <w:t> </w:t>
      </w:r>
    </w:p>
    <w:p w14:paraId="274715A6" w14:textId="77777777" w:rsidR="003F6EE3" w:rsidRDefault="003F6EE3" w:rsidP="003F6EE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rPr>
        <w:t> </w:t>
      </w:r>
      <w:r>
        <w:rPr>
          <w:rStyle w:val="eop"/>
          <w:rFonts w:ascii="Calibri" w:hAnsi="Calibri" w:cs="Segoe UI"/>
        </w:rPr>
        <w:t> </w:t>
      </w:r>
    </w:p>
    <w:p w14:paraId="6D1652D3" w14:textId="77777777" w:rsidR="003F6EE3" w:rsidRDefault="003F6EE3" w:rsidP="003F6EE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i/>
          <w:iCs/>
          <w:color w:val="000000"/>
        </w:rPr>
        <w:t>John Lynch, MD MPH</w:t>
      </w:r>
      <w:r>
        <w:rPr>
          <w:rStyle w:val="normaltextrun"/>
          <w:rFonts w:ascii="Calibri" w:hAnsi="Calibri" w:cs="Segoe UI"/>
        </w:rPr>
        <w:t> </w:t>
      </w:r>
      <w:r>
        <w:rPr>
          <w:rStyle w:val="eop"/>
          <w:rFonts w:ascii="Calibri" w:hAnsi="Calibri" w:cs="Segoe UI"/>
        </w:rPr>
        <w:t> </w:t>
      </w:r>
    </w:p>
    <w:p w14:paraId="66BF8422" w14:textId="77777777" w:rsidR="003F6EE3" w:rsidRDefault="003F6EE3" w:rsidP="003F6EE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i/>
          <w:iCs/>
          <w:color w:val="000000"/>
        </w:rPr>
        <w:t>Jeannie Chan, PharmD</w:t>
      </w:r>
      <w:r>
        <w:rPr>
          <w:rStyle w:val="normaltextrun"/>
          <w:rFonts w:ascii="Calibri" w:hAnsi="Calibri" w:cs="Segoe UI"/>
        </w:rPr>
        <w:t> </w:t>
      </w:r>
      <w:r>
        <w:rPr>
          <w:rStyle w:val="eop"/>
          <w:rFonts w:ascii="Calibri" w:hAnsi="Calibri" w:cs="Segoe UI"/>
        </w:rPr>
        <w:t> </w:t>
      </w:r>
    </w:p>
    <w:p w14:paraId="5C3D04AF" w14:textId="77777777" w:rsidR="003F6EE3" w:rsidRDefault="003F6EE3" w:rsidP="003F6EE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i/>
          <w:iCs/>
          <w:color w:val="000000"/>
        </w:rPr>
        <w:t>Zahra </w:t>
      </w:r>
      <w:r>
        <w:rPr>
          <w:rStyle w:val="spellingerror"/>
          <w:rFonts w:ascii="Calibri" w:hAnsi="Calibri" w:cs="Segoe UI"/>
          <w:i/>
          <w:iCs/>
          <w:color w:val="000000"/>
        </w:rPr>
        <w:t>Kassamali</w:t>
      </w:r>
      <w:r>
        <w:rPr>
          <w:rStyle w:val="normaltextrun"/>
          <w:rFonts w:ascii="Calibri" w:hAnsi="Calibri" w:cs="Segoe UI"/>
          <w:i/>
          <w:iCs/>
          <w:color w:val="000000"/>
        </w:rPr>
        <w:t> Escobar, PharmD</w:t>
      </w:r>
      <w:r>
        <w:rPr>
          <w:rStyle w:val="normaltextrun"/>
          <w:rFonts w:ascii="Calibri" w:hAnsi="Calibri" w:cs="Segoe UI"/>
        </w:rPr>
        <w:t> </w:t>
      </w:r>
      <w:r>
        <w:rPr>
          <w:rStyle w:val="eop"/>
          <w:rFonts w:ascii="Calibri" w:hAnsi="Calibri" w:cs="Segoe UI"/>
        </w:rPr>
        <w:t> </w:t>
      </w:r>
    </w:p>
    <w:p w14:paraId="2BE9A2D7" w14:textId="77777777" w:rsidR="003F6EE3" w:rsidRPr="00415B46" w:rsidRDefault="003F6EE3" w:rsidP="003F6EE3">
      <w:pPr>
        <w:pStyle w:val="paragraph"/>
        <w:spacing w:before="0" w:beforeAutospacing="0" w:after="0" w:afterAutospacing="0"/>
        <w:textAlignment w:val="baseline"/>
        <w:rPr>
          <w:rStyle w:val="eop"/>
          <w:rFonts w:ascii="Calibri" w:hAnsi="Calibri" w:cs="Segoe UI"/>
          <w:i/>
        </w:rPr>
      </w:pPr>
      <w:r>
        <w:rPr>
          <w:rStyle w:val="normaltextrun"/>
          <w:rFonts w:ascii="Calibri" w:hAnsi="Calibri" w:cs="Segoe UI"/>
          <w:i/>
          <w:iCs/>
          <w:color w:val="000000"/>
        </w:rPr>
        <w:t>Rupali Jain, PharmD</w:t>
      </w:r>
      <w:r>
        <w:rPr>
          <w:rStyle w:val="normaltextrun"/>
          <w:rFonts w:ascii="Calibri" w:hAnsi="Calibri" w:cs="Segoe UI"/>
        </w:rPr>
        <w:t> </w:t>
      </w:r>
      <w:r>
        <w:rPr>
          <w:rStyle w:val="eop"/>
          <w:rFonts w:ascii="Calibri" w:hAnsi="Calibri" w:cs="Segoe UI"/>
        </w:rPr>
        <w:t> </w:t>
      </w:r>
      <w:bookmarkStart w:id="0" w:name="_GoBack"/>
    </w:p>
    <w:p w14:paraId="741B4733" w14:textId="55876311" w:rsidR="00415B46" w:rsidRPr="00415B46" w:rsidRDefault="00415B46" w:rsidP="003F6EE3">
      <w:pPr>
        <w:pStyle w:val="paragraph"/>
        <w:spacing w:before="0" w:beforeAutospacing="0" w:after="0" w:afterAutospacing="0"/>
        <w:textAlignment w:val="baseline"/>
        <w:rPr>
          <w:rFonts w:ascii="Segoe UI" w:hAnsi="Segoe UI" w:cs="Segoe UI"/>
          <w:i/>
          <w:sz w:val="18"/>
          <w:szCs w:val="18"/>
        </w:rPr>
      </w:pPr>
      <w:r w:rsidRPr="00415B46">
        <w:rPr>
          <w:rStyle w:val="eop"/>
          <w:rFonts w:ascii="Calibri" w:hAnsi="Calibri" w:cs="Segoe UI"/>
          <w:i/>
        </w:rPr>
        <w:t>Mandana Naderi, PharmD</w:t>
      </w:r>
    </w:p>
    <w:bookmarkEnd w:id="0"/>
    <w:p w14:paraId="3D18CFD9" w14:textId="77777777" w:rsidR="003F6EE3" w:rsidRDefault="003F6EE3" w:rsidP="003F6EE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i/>
          <w:iCs/>
          <w:color w:val="000000"/>
        </w:rPr>
        <w:t>Paul Pottinger, MD FIDSA</w:t>
      </w:r>
      <w:r>
        <w:rPr>
          <w:rStyle w:val="normaltextrun"/>
          <w:rFonts w:ascii="Calibri" w:hAnsi="Calibri" w:cs="Segoe UI"/>
        </w:rPr>
        <w:t> </w:t>
      </w:r>
      <w:r>
        <w:rPr>
          <w:rStyle w:val="eop"/>
          <w:rFonts w:ascii="Calibri" w:hAnsi="Calibri" w:cs="Segoe UI"/>
        </w:rPr>
        <w:t> </w:t>
      </w:r>
    </w:p>
    <w:p w14:paraId="7BEA8514" w14:textId="77777777" w:rsidR="003F6EE3" w:rsidRDefault="003F6EE3" w:rsidP="003F6EE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rPr>
        <w:t> </w:t>
      </w:r>
      <w:r>
        <w:rPr>
          <w:rStyle w:val="eop"/>
          <w:rFonts w:ascii="Calibri" w:hAnsi="Calibri" w:cs="Segoe UI"/>
        </w:rPr>
        <w:t> </w:t>
      </w:r>
    </w:p>
    <w:p w14:paraId="6F005AE1" w14:textId="77777777" w:rsidR="003F6EE3" w:rsidRDefault="003F6EE3" w:rsidP="003F6EE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color w:val="000000"/>
          <w:sz w:val="20"/>
          <w:szCs w:val="20"/>
        </w:rPr>
        <w:t>PLEASE NOTE that UW TASP case consultations do </w:t>
      </w:r>
      <w:r>
        <w:rPr>
          <w:rStyle w:val="normaltextrun"/>
          <w:rFonts w:ascii="Calibri" w:hAnsi="Calibri" w:cs="Segoe UI"/>
          <w:color w:val="000000"/>
          <w:sz w:val="20"/>
          <w:szCs w:val="20"/>
          <w:u w:val="single"/>
        </w:rPr>
        <w:t>not</w:t>
      </w:r>
      <w:r>
        <w:rPr>
          <w:rStyle w:val="normaltextrun"/>
          <w:rFonts w:ascii="Calibri" w:hAnsi="Calibri" w:cs="Segoe UI"/>
          <w:color w:val="000000"/>
          <w:sz w:val="20"/>
          <w:szCs w:val="20"/>
        </w:rPr>
        <w:t> create or otherwise establish a provider-patient relationship between any UW Medicine Health Care Professional and any patient whose case is being presented in a UW TASP setting.  A provider-patient relationship between a UW Medicine Health Care Professional and a patient whose case was presented at UW TASP may later be established if the patient is referred and seen in the context of a regular appointment with the UW Medicine Health Care Professional. </w:t>
      </w:r>
      <w:r>
        <w:rPr>
          <w:rStyle w:val="eop"/>
          <w:rFonts w:ascii="Calibri" w:hAnsi="Calibri" w:cs="Segoe UI"/>
          <w:sz w:val="20"/>
          <w:szCs w:val="20"/>
        </w:rPr>
        <w:t> </w:t>
      </w:r>
    </w:p>
    <w:p w14:paraId="51DA9038" w14:textId="77777777" w:rsidR="00C17F55" w:rsidRDefault="00C17F55"/>
    <w:sectPr w:rsidR="00C17F55" w:rsidSect="000D25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70300"/>
    <w:multiLevelType w:val="hybridMultilevel"/>
    <w:tmpl w:val="9BF0CDC0"/>
    <w:lvl w:ilvl="0" w:tplc="EEF6DFF8">
      <w:start w:val="1"/>
      <w:numFmt w:val="bullet"/>
      <w:lvlText w:val=""/>
      <w:lvlJc w:val="left"/>
      <w:pPr>
        <w:ind w:left="360" w:hanging="360"/>
      </w:pPr>
      <w:rPr>
        <w:rFonts w:ascii="Symbol" w:hAnsi="Symbol" w:hint="default"/>
      </w:rPr>
    </w:lvl>
    <w:lvl w:ilvl="1" w:tplc="C1F2F7CA">
      <w:start w:val="1"/>
      <w:numFmt w:val="bullet"/>
      <w:lvlText w:val="o"/>
      <w:lvlJc w:val="left"/>
      <w:pPr>
        <w:ind w:left="1080" w:hanging="360"/>
      </w:pPr>
      <w:rPr>
        <w:rFonts w:ascii="Courier New" w:hAnsi="Courier New" w:hint="default"/>
      </w:rPr>
    </w:lvl>
    <w:lvl w:ilvl="2" w:tplc="882EC5A2">
      <w:start w:val="1"/>
      <w:numFmt w:val="bullet"/>
      <w:lvlText w:val=""/>
      <w:lvlJc w:val="left"/>
      <w:pPr>
        <w:ind w:left="1800" w:hanging="360"/>
      </w:pPr>
      <w:rPr>
        <w:rFonts w:ascii="Wingdings" w:hAnsi="Wingdings" w:hint="default"/>
      </w:rPr>
    </w:lvl>
    <w:lvl w:ilvl="3" w:tplc="5AD6425E">
      <w:start w:val="1"/>
      <w:numFmt w:val="bullet"/>
      <w:lvlText w:val=""/>
      <w:lvlJc w:val="left"/>
      <w:pPr>
        <w:ind w:left="2520" w:hanging="360"/>
      </w:pPr>
      <w:rPr>
        <w:rFonts w:ascii="Symbol" w:hAnsi="Symbol" w:hint="default"/>
      </w:rPr>
    </w:lvl>
    <w:lvl w:ilvl="4" w:tplc="733C6916">
      <w:start w:val="1"/>
      <w:numFmt w:val="bullet"/>
      <w:lvlText w:val="o"/>
      <w:lvlJc w:val="left"/>
      <w:pPr>
        <w:ind w:left="3240" w:hanging="360"/>
      </w:pPr>
      <w:rPr>
        <w:rFonts w:ascii="Courier New" w:hAnsi="Courier New" w:hint="default"/>
      </w:rPr>
    </w:lvl>
    <w:lvl w:ilvl="5" w:tplc="DEF2667A">
      <w:start w:val="1"/>
      <w:numFmt w:val="bullet"/>
      <w:lvlText w:val=""/>
      <w:lvlJc w:val="left"/>
      <w:pPr>
        <w:ind w:left="3960" w:hanging="360"/>
      </w:pPr>
      <w:rPr>
        <w:rFonts w:ascii="Wingdings" w:hAnsi="Wingdings" w:hint="default"/>
      </w:rPr>
    </w:lvl>
    <w:lvl w:ilvl="6" w:tplc="B3B807BE">
      <w:start w:val="1"/>
      <w:numFmt w:val="bullet"/>
      <w:lvlText w:val=""/>
      <w:lvlJc w:val="left"/>
      <w:pPr>
        <w:ind w:left="4680" w:hanging="360"/>
      </w:pPr>
      <w:rPr>
        <w:rFonts w:ascii="Symbol" w:hAnsi="Symbol" w:hint="default"/>
      </w:rPr>
    </w:lvl>
    <w:lvl w:ilvl="7" w:tplc="7B6C5E02">
      <w:start w:val="1"/>
      <w:numFmt w:val="bullet"/>
      <w:lvlText w:val="o"/>
      <w:lvlJc w:val="left"/>
      <w:pPr>
        <w:ind w:left="5400" w:hanging="360"/>
      </w:pPr>
      <w:rPr>
        <w:rFonts w:ascii="Courier New" w:hAnsi="Courier New" w:hint="default"/>
      </w:rPr>
    </w:lvl>
    <w:lvl w:ilvl="8" w:tplc="FC3051A6">
      <w:start w:val="1"/>
      <w:numFmt w:val="bullet"/>
      <w:lvlText w:val=""/>
      <w:lvlJc w:val="left"/>
      <w:pPr>
        <w:ind w:left="6120" w:hanging="360"/>
      </w:pPr>
      <w:rPr>
        <w:rFonts w:ascii="Wingdings" w:hAnsi="Wingdings" w:hint="default"/>
      </w:rPr>
    </w:lvl>
  </w:abstractNum>
  <w:abstractNum w:abstractNumId="1" w15:restartNumberingAfterBreak="0">
    <w:nsid w:val="185C455C"/>
    <w:multiLevelType w:val="hybridMultilevel"/>
    <w:tmpl w:val="401E17D2"/>
    <w:lvl w:ilvl="0" w:tplc="285A6D10">
      <w:start w:val="1"/>
      <w:numFmt w:val="bullet"/>
      <w:lvlText w:val=""/>
      <w:lvlJc w:val="left"/>
      <w:pPr>
        <w:ind w:left="720" w:hanging="360"/>
      </w:pPr>
      <w:rPr>
        <w:rFonts w:ascii="Symbol" w:hAnsi="Symbol" w:hint="default"/>
      </w:rPr>
    </w:lvl>
    <w:lvl w:ilvl="1" w:tplc="5A527C1C">
      <w:start w:val="1"/>
      <w:numFmt w:val="bullet"/>
      <w:lvlText w:val="o"/>
      <w:lvlJc w:val="left"/>
      <w:pPr>
        <w:ind w:left="1440" w:hanging="360"/>
      </w:pPr>
      <w:rPr>
        <w:rFonts w:ascii="Courier New" w:hAnsi="Courier New" w:hint="default"/>
      </w:rPr>
    </w:lvl>
    <w:lvl w:ilvl="2" w:tplc="AE02210C">
      <w:start w:val="1"/>
      <w:numFmt w:val="bullet"/>
      <w:lvlText w:val=""/>
      <w:lvlJc w:val="left"/>
      <w:pPr>
        <w:ind w:left="2160" w:hanging="360"/>
      </w:pPr>
      <w:rPr>
        <w:rFonts w:ascii="Wingdings" w:hAnsi="Wingdings" w:hint="default"/>
      </w:rPr>
    </w:lvl>
    <w:lvl w:ilvl="3" w:tplc="3BE8C766">
      <w:start w:val="1"/>
      <w:numFmt w:val="bullet"/>
      <w:lvlText w:val=""/>
      <w:lvlJc w:val="left"/>
      <w:pPr>
        <w:ind w:left="2880" w:hanging="360"/>
      </w:pPr>
      <w:rPr>
        <w:rFonts w:ascii="Symbol" w:hAnsi="Symbol" w:hint="default"/>
      </w:rPr>
    </w:lvl>
    <w:lvl w:ilvl="4" w:tplc="0B24E8AE">
      <w:start w:val="1"/>
      <w:numFmt w:val="bullet"/>
      <w:lvlText w:val="o"/>
      <w:lvlJc w:val="left"/>
      <w:pPr>
        <w:ind w:left="3600" w:hanging="360"/>
      </w:pPr>
      <w:rPr>
        <w:rFonts w:ascii="Courier New" w:hAnsi="Courier New" w:hint="default"/>
      </w:rPr>
    </w:lvl>
    <w:lvl w:ilvl="5" w:tplc="E8FC953C">
      <w:start w:val="1"/>
      <w:numFmt w:val="bullet"/>
      <w:lvlText w:val=""/>
      <w:lvlJc w:val="left"/>
      <w:pPr>
        <w:ind w:left="4320" w:hanging="360"/>
      </w:pPr>
      <w:rPr>
        <w:rFonts w:ascii="Wingdings" w:hAnsi="Wingdings" w:hint="default"/>
      </w:rPr>
    </w:lvl>
    <w:lvl w:ilvl="6" w:tplc="C70CC9D8">
      <w:start w:val="1"/>
      <w:numFmt w:val="bullet"/>
      <w:lvlText w:val=""/>
      <w:lvlJc w:val="left"/>
      <w:pPr>
        <w:ind w:left="5040" w:hanging="360"/>
      </w:pPr>
      <w:rPr>
        <w:rFonts w:ascii="Symbol" w:hAnsi="Symbol" w:hint="default"/>
      </w:rPr>
    </w:lvl>
    <w:lvl w:ilvl="7" w:tplc="D6B81054">
      <w:start w:val="1"/>
      <w:numFmt w:val="bullet"/>
      <w:lvlText w:val="o"/>
      <w:lvlJc w:val="left"/>
      <w:pPr>
        <w:ind w:left="5760" w:hanging="360"/>
      </w:pPr>
      <w:rPr>
        <w:rFonts w:ascii="Courier New" w:hAnsi="Courier New" w:hint="default"/>
      </w:rPr>
    </w:lvl>
    <w:lvl w:ilvl="8" w:tplc="BBD68FAA">
      <w:start w:val="1"/>
      <w:numFmt w:val="bullet"/>
      <w:lvlText w:val=""/>
      <w:lvlJc w:val="left"/>
      <w:pPr>
        <w:ind w:left="6480" w:hanging="360"/>
      </w:pPr>
      <w:rPr>
        <w:rFonts w:ascii="Wingdings" w:hAnsi="Wingdings" w:hint="default"/>
      </w:rPr>
    </w:lvl>
  </w:abstractNum>
  <w:abstractNum w:abstractNumId="2" w15:restartNumberingAfterBreak="0">
    <w:nsid w:val="3F3A4603"/>
    <w:multiLevelType w:val="hybridMultilevel"/>
    <w:tmpl w:val="3A96D8BC"/>
    <w:lvl w:ilvl="0" w:tplc="5E287B7A">
      <w:start w:val="1"/>
      <w:numFmt w:val="bullet"/>
      <w:lvlText w:val=""/>
      <w:lvlJc w:val="left"/>
      <w:pPr>
        <w:ind w:left="720" w:hanging="360"/>
      </w:pPr>
      <w:rPr>
        <w:rFonts w:ascii="Symbol" w:hAnsi="Symbol" w:hint="default"/>
      </w:rPr>
    </w:lvl>
    <w:lvl w:ilvl="1" w:tplc="6DB41B88">
      <w:start w:val="1"/>
      <w:numFmt w:val="bullet"/>
      <w:lvlText w:val="o"/>
      <w:lvlJc w:val="left"/>
      <w:pPr>
        <w:ind w:left="1440" w:hanging="360"/>
      </w:pPr>
      <w:rPr>
        <w:rFonts w:ascii="Courier New" w:hAnsi="Courier New" w:hint="default"/>
      </w:rPr>
    </w:lvl>
    <w:lvl w:ilvl="2" w:tplc="AA0AD6D0">
      <w:start w:val="1"/>
      <w:numFmt w:val="bullet"/>
      <w:lvlText w:val=""/>
      <w:lvlJc w:val="left"/>
      <w:pPr>
        <w:ind w:left="2160" w:hanging="360"/>
      </w:pPr>
      <w:rPr>
        <w:rFonts w:ascii="Wingdings" w:hAnsi="Wingdings" w:hint="default"/>
      </w:rPr>
    </w:lvl>
    <w:lvl w:ilvl="3" w:tplc="86E0E306">
      <w:start w:val="1"/>
      <w:numFmt w:val="bullet"/>
      <w:lvlText w:val=""/>
      <w:lvlJc w:val="left"/>
      <w:pPr>
        <w:ind w:left="2880" w:hanging="360"/>
      </w:pPr>
      <w:rPr>
        <w:rFonts w:ascii="Symbol" w:hAnsi="Symbol" w:hint="default"/>
      </w:rPr>
    </w:lvl>
    <w:lvl w:ilvl="4" w:tplc="EB7EFAFC">
      <w:start w:val="1"/>
      <w:numFmt w:val="bullet"/>
      <w:lvlText w:val="o"/>
      <w:lvlJc w:val="left"/>
      <w:pPr>
        <w:ind w:left="3600" w:hanging="360"/>
      </w:pPr>
      <w:rPr>
        <w:rFonts w:ascii="Courier New" w:hAnsi="Courier New" w:hint="default"/>
      </w:rPr>
    </w:lvl>
    <w:lvl w:ilvl="5" w:tplc="1C7647C6">
      <w:start w:val="1"/>
      <w:numFmt w:val="bullet"/>
      <w:lvlText w:val=""/>
      <w:lvlJc w:val="left"/>
      <w:pPr>
        <w:ind w:left="4320" w:hanging="360"/>
      </w:pPr>
      <w:rPr>
        <w:rFonts w:ascii="Wingdings" w:hAnsi="Wingdings" w:hint="default"/>
      </w:rPr>
    </w:lvl>
    <w:lvl w:ilvl="6" w:tplc="E18E8D16">
      <w:start w:val="1"/>
      <w:numFmt w:val="bullet"/>
      <w:lvlText w:val=""/>
      <w:lvlJc w:val="left"/>
      <w:pPr>
        <w:ind w:left="5040" w:hanging="360"/>
      </w:pPr>
      <w:rPr>
        <w:rFonts w:ascii="Symbol" w:hAnsi="Symbol" w:hint="default"/>
      </w:rPr>
    </w:lvl>
    <w:lvl w:ilvl="7" w:tplc="092A15B4">
      <w:start w:val="1"/>
      <w:numFmt w:val="bullet"/>
      <w:lvlText w:val="o"/>
      <w:lvlJc w:val="left"/>
      <w:pPr>
        <w:ind w:left="5760" w:hanging="360"/>
      </w:pPr>
      <w:rPr>
        <w:rFonts w:ascii="Courier New" w:hAnsi="Courier New" w:hint="default"/>
      </w:rPr>
    </w:lvl>
    <w:lvl w:ilvl="8" w:tplc="06B6D526">
      <w:start w:val="1"/>
      <w:numFmt w:val="bullet"/>
      <w:lvlText w:val=""/>
      <w:lvlJc w:val="left"/>
      <w:pPr>
        <w:ind w:left="6480" w:hanging="360"/>
      </w:pPr>
      <w:rPr>
        <w:rFonts w:ascii="Wingdings" w:hAnsi="Wingdings" w:hint="default"/>
      </w:rPr>
    </w:lvl>
  </w:abstractNum>
  <w:abstractNum w:abstractNumId="3" w15:restartNumberingAfterBreak="0">
    <w:nsid w:val="672D79C6"/>
    <w:multiLevelType w:val="hybridMultilevel"/>
    <w:tmpl w:val="FD16DDA2"/>
    <w:lvl w:ilvl="0" w:tplc="18862468">
      <w:start w:val="1"/>
      <w:numFmt w:val="bullet"/>
      <w:lvlText w:val=""/>
      <w:lvlJc w:val="left"/>
      <w:pPr>
        <w:ind w:left="720" w:hanging="360"/>
      </w:pPr>
      <w:rPr>
        <w:rFonts w:ascii="Symbol" w:hAnsi="Symbol" w:hint="default"/>
      </w:rPr>
    </w:lvl>
    <w:lvl w:ilvl="1" w:tplc="1E309C5A">
      <w:start w:val="1"/>
      <w:numFmt w:val="bullet"/>
      <w:lvlText w:val="o"/>
      <w:lvlJc w:val="left"/>
      <w:pPr>
        <w:ind w:left="1440" w:hanging="360"/>
      </w:pPr>
      <w:rPr>
        <w:rFonts w:ascii="Courier New" w:hAnsi="Courier New" w:hint="default"/>
      </w:rPr>
    </w:lvl>
    <w:lvl w:ilvl="2" w:tplc="B73031D6">
      <w:start w:val="1"/>
      <w:numFmt w:val="bullet"/>
      <w:lvlText w:val=""/>
      <w:lvlJc w:val="left"/>
      <w:pPr>
        <w:ind w:left="2160" w:hanging="360"/>
      </w:pPr>
      <w:rPr>
        <w:rFonts w:ascii="Wingdings" w:hAnsi="Wingdings" w:hint="default"/>
      </w:rPr>
    </w:lvl>
    <w:lvl w:ilvl="3" w:tplc="51AED45E">
      <w:start w:val="1"/>
      <w:numFmt w:val="bullet"/>
      <w:lvlText w:val=""/>
      <w:lvlJc w:val="left"/>
      <w:pPr>
        <w:ind w:left="2880" w:hanging="360"/>
      </w:pPr>
      <w:rPr>
        <w:rFonts w:ascii="Symbol" w:hAnsi="Symbol" w:hint="default"/>
      </w:rPr>
    </w:lvl>
    <w:lvl w:ilvl="4" w:tplc="AF142E10">
      <w:start w:val="1"/>
      <w:numFmt w:val="bullet"/>
      <w:lvlText w:val="o"/>
      <w:lvlJc w:val="left"/>
      <w:pPr>
        <w:ind w:left="3600" w:hanging="360"/>
      </w:pPr>
      <w:rPr>
        <w:rFonts w:ascii="Courier New" w:hAnsi="Courier New" w:hint="default"/>
      </w:rPr>
    </w:lvl>
    <w:lvl w:ilvl="5" w:tplc="7D90749C">
      <w:start w:val="1"/>
      <w:numFmt w:val="bullet"/>
      <w:lvlText w:val=""/>
      <w:lvlJc w:val="left"/>
      <w:pPr>
        <w:ind w:left="4320" w:hanging="360"/>
      </w:pPr>
      <w:rPr>
        <w:rFonts w:ascii="Wingdings" w:hAnsi="Wingdings" w:hint="default"/>
      </w:rPr>
    </w:lvl>
    <w:lvl w:ilvl="6" w:tplc="11E018BA">
      <w:start w:val="1"/>
      <w:numFmt w:val="bullet"/>
      <w:lvlText w:val=""/>
      <w:lvlJc w:val="left"/>
      <w:pPr>
        <w:ind w:left="5040" w:hanging="360"/>
      </w:pPr>
      <w:rPr>
        <w:rFonts w:ascii="Symbol" w:hAnsi="Symbol" w:hint="default"/>
      </w:rPr>
    </w:lvl>
    <w:lvl w:ilvl="7" w:tplc="F7E80582">
      <w:start w:val="1"/>
      <w:numFmt w:val="bullet"/>
      <w:lvlText w:val="o"/>
      <w:lvlJc w:val="left"/>
      <w:pPr>
        <w:ind w:left="5760" w:hanging="360"/>
      </w:pPr>
      <w:rPr>
        <w:rFonts w:ascii="Courier New" w:hAnsi="Courier New" w:hint="default"/>
      </w:rPr>
    </w:lvl>
    <w:lvl w:ilvl="8" w:tplc="B8622470">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EE3"/>
    <w:rsid w:val="000D2523"/>
    <w:rsid w:val="001B18C0"/>
    <w:rsid w:val="003F6EE3"/>
    <w:rsid w:val="00415B46"/>
    <w:rsid w:val="004B7AE8"/>
    <w:rsid w:val="004D39E9"/>
    <w:rsid w:val="00735EE2"/>
    <w:rsid w:val="008A19A0"/>
    <w:rsid w:val="00A82A9D"/>
    <w:rsid w:val="00C17F55"/>
    <w:rsid w:val="00CC7BA4"/>
    <w:rsid w:val="04B2A43F"/>
    <w:rsid w:val="0BC5DFFF"/>
    <w:rsid w:val="0C941878"/>
    <w:rsid w:val="10FA5F48"/>
    <w:rsid w:val="13E1781A"/>
    <w:rsid w:val="14B552CA"/>
    <w:rsid w:val="195DA5C9"/>
    <w:rsid w:val="1D2C0AC4"/>
    <w:rsid w:val="2152A821"/>
    <w:rsid w:val="28CBBC25"/>
    <w:rsid w:val="2D220B2D"/>
    <w:rsid w:val="348F0581"/>
    <w:rsid w:val="34FF9348"/>
    <w:rsid w:val="35CD7B5E"/>
    <w:rsid w:val="44D428E3"/>
    <w:rsid w:val="45564CB3"/>
    <w:rsid w:val="46B11C04"/>
    <w:rsid w:val="46F21D14"/>
    <w:rsid w:val="4A5A1725"/>
    <w:rsid w:val="4D172883"/>
    <w:rsid w:val="60B57C18"/>
    <w:rsid w:val="65E2EF07"/>
    <w:rsid w:val="6F5C802F"/>
    <w:rsid w:val="7924E4F8"/>
    <w:rsid w:val="7A858DFF"/>
    <w:rsid w:val="7B614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BF870"/>
  <w14:defaultImageDpi w14:val="32767"/>
  <w15:chartTrackingRefBased/>
  <w15:docId w15:val="{65BEFA10-F127-8E4F-9480-963B5C32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F6EE3"/>
    <w:pPr>
      <w:spacing w:after="160" w:line="259" w:lineRule="auto"/>
    </w:pPr>
    <w:rPr>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F6E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F6EE3"/>
  </w:style>
  <w:style w:type="character" w:customStyle="1" w:styleId="eop">
    <w:name w:val="eop"/>
    <w:basedOn w:val="DefaultParagraphFont"/>
    <w:rsid w:val="003F6EE3"/>
  </w:style>
  <w:style w:type="character" w:customStyle="1" w:styleId="spellingerror">
    <w:name w:val="spellingerror"/>
    <w:basedOn w:val="DefaultParagraphFont"/>
    <w:rsid w:val="003F6EE3"/>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4B7AE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B7AE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603941">
      <w:bodyDiv w:val="1"/>
      <w:marLeft w:val="0"/>
      <w:marRight w:val="0"/>
      <w:marTop w:val="0"/>
      <w:marBottom w:val="0"/>
      <w:divBdr>
        <w:top w:val="none" w:sz="0" w:space="0" w:color="auto"/>
        <w:left w:val="none" w:sz="0" w:space="0" w:color="auto"/>
        <w:bottom w:val="none" w:sz="0" w:space="0" w:color="auto"/>
        <w:right w:val="none" w:sz="0" w:space="0" w:color="auto"/>
      </w:divBdr>
      <w:divsChild>
        <w:div w:id="2002654960">
          <w:marLeft w:val="0"/>
          <w:marRight w:val="0"/>
          <w:marTop w:val="0"/>
          <w:marBottom w:val="0"/>
          <w:divBdr>
            <w:top w:val="none" w:sz="0" w:space="0" w:color="auto"/>
            <w:left w:val="none" w:sz="0" w:space="0" w:color="auto"/>
            <w:bottom w:val="none" w:sz="0" w:space="0" w:color="auto"/>
            <w:right w:val="none" w:sz="0" w:space="0" w:color="auto"/>
          </w:divBdr>
        </w:div>
        <w:div w:id="2056150733">
          <w:marLeft w:val="0"/>
          <w:marRight w:val="0"/>
          <w:marTop w:val="0"/>
          <w:marBottom w:val="0"/>
          <w:divBdr>
            <w:top w:val="none" w:sz="0" w:space="0" w:color="auto"/>
            <w:left w:val="none" w:sz="0" w:space="0" w:color="auto"/>
            <w:bottom w:val="none" w:sz="0" w:space="0" w:color="auto"/>
            <w:right w:val="none" w:sz="0" w:space="0" w:color="auto"/>
          </w:divBdr>
        </w:div>
        <w:div w:id="30234068">
          <w:marLeft w:val="0"/>
          <w:marRight w:val="0"/>
          <w:marTop w:val="0"/>
          <w:marBottom w:val="0"/>
          <w:divBdr>
            <w:top w:val="none" w:sz="0" w:space="0" w:color="auto"/>
            <w:left w:val="none" w:sz="0" w:space="0" w:color="auto"/>
            <w:bottom w:val="none" w:sz="0" w:space="0" w:color="auto"/>
            <w:right w:val="none" w:sz="0" w:space="0" w:color="auto"/>
          </w:divBdr>
        </w:div>
        <w:div w:id="1445805828">
          <w:marLeft w:val="0"/>
          <w:marRight w:val="0"/>
          <w:marTop w:val="0"/>
          <w:marBottom w:val="0"/>
          <w:divBdr>
            <w:top w:val="none" w:sz="0" w:space="0" w:color="auto"/>
            <w:left w:val="none" w:sz="0" w:space="0" w:color="auto"/>
            <w:bottom w:val="none" w:sz="0" w:space="0" w:color="auto"/>
            <w:right w:val="none" w:sz="0" w:space="0" w:color="auto"/>
          </w:divBdr>
        </w:div>
        <w:div w:id="646324216">
          <w:marLeft w:val="0"/>
          <w:marRight w:val="0"/>
          <w:marTop w:val="0"/>
          <w:marBottom w:val="0"/>
          <w:divBdr>
            <w:top w:val="none" w:sz="0" w:space="0" w:color="auto"/>
            <w:left w:val="none" w:sz="0" w:space="0" w:color="auto"/>
            <w:bottom w:val="none" w:sz="0" w:space="0" w:color="auto"/>
            <w:right w:val="none" w:sz="0" w:space="0" w:color="auto"/>
          </w:divBdr>
        </w:div>
      </w:divsChild>
    </w:div>
    <w:div w:id="659314560">
      <w:bodyDiv w:val="1"/>
      <w:marLeft w:val="0"/>
      <w:marRight w:val="0"/>
      <w:marTop w:val="0"/>
      <w:marBottom w:val="0"/>
      <w:divBdr>
        <w:top w:val="none" w:sz="0" w:space="0" w:color="auto"/>
        <w:left w:val="none" w:sz="0" w:space="0" w:color="auto"/>
        <w:bottom w:val="none" w:sz="0" w:space="0" w:color="auto"/>
        <w:right w:val="none" w:sz="0" w:space="0" w:color="auto"/>
      </w:divBdr>
    </w:div>
    <w:div w:id="916596735">
      <w:bodyDiv w:val="1"/>
      <w:marLeft w:val="0"/>
      <w:marRight w:val="0"/>
      <w:marTop w:val="0"/>
      <w:marBottom w:val="0"/>
      <w:divBdr>
        <w:top w:val="none" w:sz="0" w:space="0" w:color="auto"/>
        <w:left w:val="none" w:sz="0" w:space="0" w:color="auto"/>
        <w:bottom w:val="none" w:sz="0" w:space="0" w:color="auto"/>
        <w:right w:val="none" w:sz="0" w:space="0" w:color="auto"/>
      </w:divBdr>
    </w:div>
    <w:div w:id="1622954100">
      <w:bodyDiv w:val="1"/>
      <w:marLeft w:val="0"/>
      <w:marRight w:val="0"/>
      <w:marTop w:val="0"/>
      <w:marBottom w:val="0"/>
      <w:divBdr>
        <w:top w:val="none" w:sz="0" w:space="0" w:color="auto"/>
        <w:left w:val="none" w:sz="0" w:space="0" w:color="auto"/>
        <w:bottom w:val="none" w:sz="0" w:space="0" w:color="auto"/>
        <w:right w:val="none" w:sz="0" w:space="0" w:color="auto"/>
      </w:divBdr>
    </w:div>
    <w:div w:id="2054844612">
      <w:bodyDiv w:val="1"/>
      <w:marLeft w:val="0"/>
      <w:marRight w:val="0"/>
      <w:marTop w:val="0"/>
      <w:marBottom w:val="0"/>
      <w:divBdr>
        <w:top w:val="none" w:sz="0" w:space="0" w:color="auto"/>
        <w:left w:val="none" w:sz="0" w:space="0" w:color="auto"/>
        <w:bottom w:val="none" w:sz="0" w:space="0" w:color="auto"/>
        <w:right w:val="none" w:sz="0" w:space="0" w:color="auto"/>
      </w:divBdr>
    </w:div>
    <w:div w:id="206236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ptodate-com.offcampus.lib.washington.edu/contents/coronavirus-disease-2019-covid-19-outpatient-evaluation-and-management-in-adults?search=covid%20outpatient%20treatment&amp;source=search_result&amp;selectedTitle=1~150&amp;usage_type=default&amp;display_rank=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ptodate-com.offcampus.lib.washington.edu/contents/coronavirus-disease-2019-covid-19-outpatient-evaluation-and-management-in-adults?search=covid%20outpatient%20treatment&amp;source=search_result&amp;selectedTitle=1~150&amp;usage_type=default&amp;display_rank=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ptodate-com.offcampus.lib.washington.edu/contents/coronavirus-disease-2019-covid-19-outpatient-evaluation-and-management-in-adults?search=covid%20outpatient%20treatment&amp;source=search_result&amp;selectedTitle=1~150&amp;usage_type=default&amp;display_rank=1"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uptodate-com.offcampus.lib.washington.edu/contents/coronavirus-disease-2019-covid-19-outpatient-evaluation-and-management-in-adults?search=covid%20outpatient%20treatment&amp;source=search_result&amp;selectedTitle=1~150&amp;usage_type=default&amp;display_rank=1" TargetMode="External"/><Relationship Id="rId4" Type="http://schemas.openxmlformats.org/officeDocument/2006/relationships/numbering" Target="numbering.xml"/><Relationship Id="rId9" Type="http://schemas.openxmlformats.org/officeDocument/2006/relationships/hyperlink" Target="https://www-uptodate-com.offcampus.lib.washington.edu/contents/image?imageKey=ID%2F127477&amp;topicKey=PC%2F127759&amp;search=covid+symptoms&amp;rank=10%7E150&amp;source=see_link" TargetMode="External"/><Relationship Id="rId14" Type="http://schemas.openxmlformats.org/officeDocument/2006/relationships/hyperlink" Target="https://www-uptodate-com.offcampus.lib.washington.edu/contents/coronavirus-disease-2019-covid-19-outpatient-evaluation-and-management-in-adults?search=covid%20outpatient%20treatment&amp;source=search_result&amp;selectedTitle=1~150&amp;usage_type=default&amp;display_ra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8063322ECD2A4C836D2589E489F290" ma:contentTypeVersion="9" ma:contentTypeDescription="Create a new document." ma:contentTypeScope="" ma:versionID="7b701631cde17c0ee940f5cc8556cfc0">
  <xsd:schema xmlns:xsd="http://www.w3.org/2001/XMLSchema" xmlns:xs="http://www.w3.org/2001/XMLSchema" xmlns:p="http://schemas.microsoft.com/office/2006/metadata/properties" xmlns:ns2="eacaa5ce-4b13-4929-997a-fd8c1bfe780a" xmlns:ns3="69aa3883-b251-412e-bf1d-acb3217d06af" targetNamespace="http://schemas.microsoft.com/office/2006/metadata/properties" ma:root="true" ma:fieldsID="0873a5e6dfe3c9b1380257af460700b0" ns2:_="" ns3:_="">
    <xsd:import namespace="eacaa5ce-4b13-4929-997a-fd8c1bfe780a"/>
    <xsd:import namespace="69aa3883-b251-412e-bf1d-acb3217d06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aa5ce-4b13-4929-997a-fd8c1bfe780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aa3883-b251-412e-bf1d-acb3217d06a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07F016-C2B5-41E4-85BB-DAC964421964}">
  <ds:schemaRefs>
    <ds:schemaRef ds:uri="http://schemas.microsoft.com/sharepoint/v3/contenttype/forms"/>
  </ds:schemaRefs>
</ds:datastoreItem>
</file>

<file path=customXml/itemProps2.xml><?xml version="1.0" encoding="utf-8"?>
<ds:datastoreItem xmlns:ds="http://schemas.openxmlformats.org/officeDocument/2006/customXml" ds:itemID="{47B64900-5505-4A68-8CA8-0B4E31E324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EC243E-24C6-4A54-9D10-374C2A093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aa5ce-4b13-4929-997a-fd8c1bfe780a"/>
    <ds:schemaRef ds:uri="69aa3883-b251-412e-bf1d-acb3217d0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937</Words>
  <Characters>5347</Characters>
  <Application>Microsoft Office Word</Application>
  <DocSecurity>0</DocSecurity>
  <Lines>44</Lines>
  <Paragraphs>12</Paragraphs>
  <ScaleCrop>false</ScaleCrop>
  <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Martinez-Paz</dc:creator>
  <cp:keywords/>
  <dc:description/>
  <cp:lastModifiedBy>Natalia Martinez-Paz</cp:lastModifiedBy>
  <cp:revision>9</cp:revision>
  <dcterms:created xsi:type="dcterms:W3CDTF">2020-11-13T20:04:00Z</dcterms:created>
  <dcterms:modified xsi:type="dcterms:W3CDTF">2020-11-20T21:17:00Z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0x010100508063322ECD2A4C836D2589E489F290</vt:lpwstr>
  </property>
</Properties>
</file>