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xmlns:wp14="http://schemas.microsoft.com/office/word/2010/wordml" w:rsidRPr="002F40F7" w:rsidR="009E6D33" w:rsidP="00A544D0" w:rsidRDefault="0084391C" w14:paraId="672A6659" wp14:textId="77777777">
      <w:pPr>
        <w:jc w:val="center"/>
        <w:rPr>
          <w:rFonts w:ascii="Arial" w:hAnsi="Arial" w:cs="Arial"/>
          <w:sz w:val="24"/>
          <w:szCs w:val="24"/>
        </w:rPr>
      </w:pPr>
      <w:r w:rsidRPr="002F40F7">
        <w:rPr>
          <w:rFonts w:ascii="Arial" w:hAnsi="Arial" w:cs="Arial"/>
          <w:noProof/>
          <w:sz w:val="24"/>
          <w:szCs w:val="24"/>
        </w:rPr>
        <mc:AlternateContent>
          <mc:Choice Requires="wps">
            <w:drawing>
              <wp:inline xmlns:wp14="http://schemas.microsoft.com/office/word/2010/wordprocessingDrawing"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66B92F2E">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alt="UW TASP_LogoExploration_RGB_Color.jpg"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o:lock v:ext="edit" aspectratio="t"/>
                <w10:anchorlock/>
              </v:rect>
            </w:pict>
          </mc:Fallback>
        </mc:AlternateContent>
      </w:r>
      <w:r w:rsidRPr="002F40F7">
        <w:rPr>
          <w:rFonts w:ascii="Arial" w:hAnsi="Arial" w:cs="Arial"/>
          <w:noProof/>
          <w:sz w:val="24"/>
          <w:szCs w:val="24"/>
        </w:rPr>
        <w:drawing>
          <wp:inline xmlns:wp14="http://schemas.microsoft.com/office/word/2010/wordprocessingDrawing"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38425" cy="777151"/>
                    </a:xfrm>
                    <a:prstGeom prst="rect">
                      <a:avLst/>
                    </a:prstGeom>
                  </pic:spPr>
                </pic:pic>
              </a:graphicData>
            </a:graphic>
          </wp:inline>
        </w:drawing>
      </w:r>
    </w:p>
    <w:p xmlns:wp14="http://schemas.microsoft.com/office/word/2010/wordml" w:rsidRPr="00BA2C33" w:rsidR="00BA2C33" w:rsidP="0051140B" w:rsidRDefault="00A272E0" w14:paraId="5C4053F5" wp14:textId="77777777">
      <w:pPr>
        <w:rPr>
          <w:rFonts w:ascii="Arial" w:hAnsi="Arial" w:cs="Arial"/>
          <w:b/>
          <w:sz w:val="24"/>
          <w:szCs w:val="24"/>
        </w:rPr>
      </w:pPr>
      <w:r>
        <w:rPr>
          <w:rFonts w:ascii="Arial" w:hAnsi="Arial" w:cs="Arial"/>
          <w:b/>
          <w:sz w:val="24"/>
          <w:szCs w:val="24"/>
        </w:rPr>
        <w:t>Questions from Dr. Scott Kennedy, CMO at Olympic Medical Center</w:t>
      </w:r>
    </w:p>
    <w:p xmlns:wp14="http://schemas.microsoft.com/office/word/2010/wordml" w:rsidR="00BA2C33" w:rsidP="0051140B" w:rsidRDefault="00A272E0" w14:paraId="7150F627" wp14:textId="77777777">
      <w:pPr>
        <w:rPr>
          <w:rFonts w:ascii="Arial" w:hAnsi="Arial" w:cs="Arial"/>
          <w:b/>
          <w:sz w:val="24"/>
          <w:szCs w:val="24"/>
        </w:rPr>
      </w:pPr>
      <w:r>
        <w:rPr>
          <w:rFonts w:ascii="Arial" w:hAnsi="Arial" w:cs="Arial"/>
          <w:b/>
          <w:sz w:val="24"/>
          <w:szCs w:val="24"/>
        </w:rPr>
        <w:t>August 2018</w:t>
      </w:r>
    </w:p>
    <w:p xmlns:wp14="http://schemas.microsoft.com/office/word/2010/wordml" w:rsidR="00A272E0" w:rsidP="0051140B" w:rsidRDefault="00A272E0" w14:paraId="173524DF" wp14:textId="77777777">
      <w:pPr>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 xml:space="preserve">  </w:t>
      </w:r>
      <w:proofErr w:type="gramStart"/>
      <w:r>
        <w:rPr>
          <w:rFonts w:ascii="Arial" w:hAnsi="Arial" w:cs="Arial"/>
          <w:b/>
          <w:sz w:val="24"/>
          <w:szCs w:val="24"/>
        </w:rPr>
        <w:t>Are there any data suggesting reduced C. difficile risk</w:t>
      </w:r>
      <w:proofErr w:type="gramEnd"/>
      <w:r>
        <w:rPr>
          <w:rFonts w:ascii="Arial" w:hAnsi="Arial" w:cs="Arial"/>
          <w:b/>
          <w:sz w:val="24"/>
          <w:szCs w:val="24"/>
        </w:rPr>
        <w:t xml:space="preserve"> when postop antibody durations are decreased?</w:t>
      </w:r>
    </w:p>
    <w:p xmlns:wp14="http://schemas.microsoft.com/office/word/2010/wordml" w:rsidRPr="00A272E0" w:rsidR="00A272E0" w:rsidP="094A332B" w:rsidRDefault="00A272E0" w14:paraId="0A37501D" wp14:noSpellErr="1" wp14:textId="0C01DB54">
      <w:pPr>
        <w:rPr>
          <w:rFonts w:ascii="Arial" w:hAnsi="Arial" w:cs="Arial"/>
          <w:sz w:val="24"/>
          <w:szCs w:val="24"/>
        </w:rPr>
      </w:pPr>
      <w:r w:rsidRPr="094A332B" w:rsidR="094A332B">
        <w:rPr>
          <w:rFonts w:ascii="Arial" w:hAnsi="Arial" w:cs="Arial"/>
          <w:sz w:val="24"/>
          <w:szCs w:val="24"/>
        </w:rPr>
        <w:t xml:space="preserve">Yes, there are studies showing an increased risk of </w:t>
      </w:r>
      <w:r w:rsidRPr="094A332B" w:rsidR="094A332B">
        <w:rPr>
          <w:rFonts w:ascii="Arial" w:hAnsi="Arial" w:cs="Arial"/>
          <w:i w:val="1"/>
          <w:iCs w:val="1"/>
          <w:sz w:val="24"/>
          <w:szCs w:val="24"/>
        </w:rPr>
        <w:t>Clostridium difficile</w:t>
      </w:r>
      <w:r w:rsidRPr="094A332B" w:rsidR="094A332B">
        <w:rPr>
          <w:rFonts w:ascii="Arial" w:hAnsi="Arial" w:cs="Arial"/>
          <w:i w:val="0"/>
          <w:iCs w:val="0"/>
          <w:sz w:val="24"/>
          <w:szCs w:val="24"/>
        </w:rPr>
        <w:t xml:space="preserve"> infection (CDI) when post-operative antimicrobials are continued beyond recommended </w:t>
      </w:r>
      <w:r w:rsidRPr="094A332B" w:rsidR="094A332B">
        <w:rPr>
          <w:rFonts w:ascii="Arial" w:hAnsi="Arial" w:cs="Arial"/>
          <w:i w:val="0"/>
          <w:iCs w:val="0"/>
          <w:sz w:val="24"/>
          <w:szCs w:val="24"/>
        </w:rPr>
        <w:t>prophylaxis</w:t>
      </w:r>
      <w:r w:rsidRPr="094A332B" w:rsidR="094A332B">
        <w:rPr>
          <w:rFonts w:ascii="Arial" w:hAnsi="Arial" w:cs="Arial"/>
          <w:i w:val="0"/>
          <w:iCs w:val="0"/>
          <w:sz w:val="24"/>
          <w:szCs w:val="24"/>
        </w:rPr>
        <w:t xml:space="preserve"> durations (basically no antimicrobials after closing). </w:t>
      </w:r>
    </w:p>
    <w:p w:rsidR="094A332B" w:rsidP="094A332B" w:rsidRDefault="094A332B" w14:paraId="6169AECB" w14:textId="7174D891">
      <w:pPr>
        <w:pStyle w:val="Normal"/>
      </w:pPr>
      <w:proofErr w:type="spellStart"/>
      <w:r w:rsidRPr="094A332B" w:rsidR="094A332B">
        <w:rPr>
          <w:rFonts w:ascii="Arial" w:hAnsi="Arial" w:eastAsia="Arial" w:cs="Arial"/>
          <w:noProof w:val="0"/>
          <w:sz w:val="24"/>
          <w:szCs w:val="24"/>
          <w:lang w:val="en-US"/>
        </w:rPr>
        <w:t>Bernatz</w:t>
      </w:r>
      <w:proofErr w:type="spellEnd"/>
      <w:r w:rsidRPr="094A332B" w:rsidR="094A332B">
        <w:rPr>
          <w:rFonts w:ascii="Arial" w:hAnsi="Arial" w:eastAsia="Arial" w:cs="Arial"/>
          <w:noProof w:val="0"/>
          <w:sz w:val="24"/>
          <w:szCs w:val="24"/>
          <w:lang w:val="en-US"/>
        </w:rPr>
        <w:t xml:space="preserve">, J. T., Safdar, N., Hetzel, S. &amp; Anderson, P. A. Antibiotic Overuse is a Major Risk Factor for Clostridium difficile Infection in Surgical Patients. </w:t>
      </w:r>
      <w:r w:rsidRPr="094A332B" w:rsidR="094A332B">
        <w:rPr>
          <w:rFonts w:ascii="Arial" w:hAnsi="Arial" w:eastAsia="Arial" w:cs="Arial"/>
          <w:i w:val="1"/>
          <w:iCs w:val="1"/>
          <w:noProof w:val="0"/>
          <w:sz w:val="24"/>
          <w:szCs w:val="24"/>
          <w:lang w:val="en-US"/>
        </w:rPr>
        <w:t>Infect. Control Hosp. Epidemiol.</w:t>
      </w:r>
      <w:r w:rsidRPr="094A332B" w:rsidR="094A332B">
        <w:rPr>
          <w:rFonts w:ascii="Arial" w:hAnsi="Arial" w:eastAsia="Arial" w:cs="Arial"/>
          <w:noProof w:val="0"/>
          <w:sz w:val="24"/>
          <w:szCs w:val="24"/>
          <w:lang w:val="en-US"/>
        </w:rPr>
        <w:t xml:space="preserve"> </w:t>
      </w:r>
      <w:r w:rsidRPr="094A332B" w:rsidR="094A332B">
        <w:rPr>
          <w:rFonts w:ascii="Arial" w:hAnsi="Arial" w:eastAsia="Arial" w:cs="Arial"/>
          <w:b w:val="1"/>
          <w:bCs w:val="1"/>
          <w:noProof w:val="0"/>
          <w:sz w:val="24"/>
          <w:szCs w:val="24"/>
          <w:lang w:val="en-US"/>
        </w:rPr>
        <w:t>38,</w:t>
      </w:r>
      <w:r w:rsidRPr="094A332B" w:rsidR="094A332B">
        <w:rPr>
          <w:rFonts w:ascii="Arial" w:hAnsi="Arial" w:eastAsia="Arial" w:cs="Arial"/>
          <w:noProof w:val="0"/>
          <w:sz w:val="24"/>
          <w:szCs w:val="24"/>
          <w:lang w:val="en-US"/>
        </w:rPr>
        <w:t xml:space="preserve"> 1254–1257 (2017).</w:t>
      </w:r>
    </w:p>
    <w:p w:rsidR="094A332B" w:rsidP="094A332B" w:rsidRDefault="094A332B" w14:paraId="7AAF2054" w14:textId="26217996">
      <w:pPr>
        <w:pStyle w:val="Normal"/>
      </w:pPr>
      <w:hyperlink r:id="Rdc3e726bca9d44e8">
        <w:r w:rsidRPr="094A332B" w:rsidR="094A332B">
          <w:rPr>
            <w:rStyle w:val="Hyperlink"/>
            <w:rFonts w:ascii="Arial" w:hAnsi="Arial" w:eastAsia="Arial" w:cs="Arial"/>
            <w:noProof w:val="0"/>
            <w:sz w:val="24"/>
            <w:szCs w:val="24"/>
            <w:lang w:val="en-US"/>
          </w:rPr>
          <w:t>https://paperpile.com/shared/HBsG7R</w:t>
        </w:r>
      </w:hyperlink>
    </w:p>
    <w:p w:rsidR="094A332B" w:rsidP="094A332B" w:rsidRDefault="094A332B" w14:noSpellErr="1" w14:paraId="6F93C7D2" w14:textId="5C72BFA8">
      <w:pPr>
        <w:pStyle w:val="Normal"/>
        <w:rPr>
          <w:rFonts w:ascii="Arial" w:hAnsi="Arial" w:eastAsia="Arial" w:cs="Arial"/>
          <w:noProof w:val="0"/>
          <w:sz w:val="24"/>
          <w:szCs w:val="24"/>
          <w:lang w:val="en-US"/>
        </w:rPr>
      </w:pPr>
      <w:r w:rsidRPr="094A332B" w:rsidR="094A332B">
        <w:rPr>
          <w:rFonts w:ascii="Arial" w:hAnsi="Arial" w:eastAsia="Arial" w:cs="Arial"/>
          <w:noProof w:val="0"/>
          <w:sz w:val="24"/>
          <w:szCs w:val="24"/>
          <w:lang w:val="en-US"/>
        </w:rPr>
        <w:t xml:space="preserve">See Table 2 near the bottom. Patients with post-op antibiotics &gt;24 hours had a </w:t>
      </w:r>
      <w:proofErr w:type="gramStart"/>
      <w:r w:rsidRPr="094A332B" w:rsidR="094A332B">
        <w:rPr>
          <w:rFonts w:ascii="Arial" w:hAnsi="Arial" w:eastAsia="Arial" w:cs="Arial"/>
          <w:noProof w:val="0"/>
          <w:sz w:val="24"/>
          <w:szCs w:val="24"/>
          <w:lang w:val="en-US"/>
        </w:rPr>
        <w:t>3-5 fold</w:t>
      </w:r>
      <w:proofErr w:type="gramEnd"/>
      <w:r w:rsidRPr="094A332B" w:rsidR="094A332B">
        <w:rPr>
          <w:rFonts w:ascii="Arial" w:hAnsi="Arial" w:eastAsia="Arial" w:cs="Arial"/>
          <w:noProof w:val="0"/>
          <w:sz w:val="24"/>
          <w:szCs w:val="24"/>
          <w:lang w:val="en-US"/>
        </w:rPr>
        <w:t xml:space="preserve"> increased risk of CDI. </w:t>
      </w:r>
    </w:p>
    <w:p w:rsidR="094A332B" w:rsidP="094A332B" w:rsidRDefault="094A332B" w14:paraId="59FA9D05" w14:textId="5E4D0977">
      <w:pPr>
        <w:pStyle w:val="Normal"/>
        <w:rPr>
          <w:rFonts w:ascii="Arial" w:hAnsi="Arial" w:eastAsia="Arial" w:cs="Arial"/>
          <w:noProof w:val="0"/>
          <w:sz w:val="24"/>
          <w:szCs w:val="24"/>
          <w:lang w:val="en-US"/>
        </w:rPr>
      </w:pPr>
    </w:p>
    <w:p w:rsidR="094A332B" w:rsidP="094A332B" w:rsidRDefault="094A332B" w14:paraId="3E0D6618" w14:textId="08A605C5">
      <w:pPr>
        <w:pStyle w:val="Normal"/>
      </w:pPr>
      <w:proofErr w:type="spellStart"/>
      <w:r w:rsidRPr="094A332B" w:rsidR="094A332B">
        <w:rPr>
          <w:rFonts w:ascii="Arial" w:hAnsi="Arial" w:eastAsia="Arial" w:cs="Arial"/>
          <w:noProof w:val="0"/>
          <w:sz w:val="24"/>
          <w:szCs w:val="24"/>
          <w:lang w:val="en-US"/>
        </w:rPr>
        <w:t>Dellit</w:t>
      </w:r>
      <w:proofErr w:type="spellEnd"/>
      <w:r w:rsidRPr="094A332B" w:rsidR="094A332B">
        <w:rPr>
          <w:rFonts w:ascii="Arial" w:hAnsi="Arial" w:eastAsia="Arial" w:cs="Arial"/>
          <w:noProof w:val="0"/>
          <w:sz w:val="24"/>
          <w:szCs w:val="24"/>
          <w:lang w:val="en-US"/>
        </w:rPr>
        <w:t xml:space="preserve">, T. H. </w:t>
      </w:r>
      <w:r w:rsidRPr="094A332B" w:rsidR="094A332B">
        <w:rPr>
          <w:rFonts w:ascii="Arial" w:hAnsi="Arial" w:eastAsia="Arial" w:cs="Arial"/>
          <w:i w:val="1"/>
          <w:iCs w:val="1"/>
          <w:noProof w:val="0"/>
          <w:sz w:val="24"/>
          <w:szCs w:val="24"/>
          <w:lang w:val="en-US"/>
        </w:rPr>
        <w:t>et al.</w:t>
      </w:r>
      <w:r w:rsidRPr="094A332B" w:rsidR="094A332B">
        <w:rPr>
          <w:rFonts w:ascii="Arial" w:hAnsi="Arial" w:eastAsia="Arial" w:cs="Arial"/>
          <w:noProof w:val="0"/>
          <w:sz w:val="24"/>
          <w:szCs w:val="24"/>
          <w:lang w:val="en-US"/>
        </w:rPr>
        <w:t xml:space="preserve"> Reduction in Clostridium difficile infections among neurosurgical patients associated with discontinuation of antimicrobial prophylaxis for the duration of external ventricular drain placement. </w:t>
      </w:r>
      <w:r w:rsidRPr="094A332B" w:rsidR="094A332B">
        <w:rPr>
          <w:rFonts w:ascii="Arial" w:hAnsi="Arial" w:eastAsia="Arial" w:cs="Arial"/>
          <w:i w:val="1"/>
          <w:iCs w:val="1"/>
          <w:noProof w:val="0"/>
          <w:sz w:val="24"/>
          <w:szCs w:val="24"/>
          <w:lang w:val="en-US"/>
        </w:rPr>
        <w:t>Infect. Control Hosp. Epidemiol.</w:t>
      </w:r>
      <w:r w:rsidRPr="094A332B" w:rsidR="094A332B">
        <w:rPr>
          <w:rFonts w:ascii="Arial" w:hAnsi="Arial" w:eastAsia="Arial" w:cs="Arial"/>
          <w:noProof w:val="0"/>
          <w:sz w:val="24"/>
          <w:szCs w:val="24"/>
          <w:lang w:val="en-US"/>
        </w:rPr>
        <w:t xml:space="preserve"> </w:t>
      </w:r>
      <w:r w:rsidRPr="094A332B" w:rsidR="094A332B">
        <w:rPr>
          <w:rFonts w:ascii="Arial" w:hAnsi="Arial" w:eastAsia="Arial" w:cs="Arial"/>
          <w:b w:val="1"/>
          <w:bCs w:val="1"/>
          <w:noProof w:val="0"/>
          <w:sz w:val="24"/>
          <w:szCs w:val="24"/>
          <w:lang w:val="en-US"/>
        </w:rPr>
        <w:t>35,</w:t>
      </w:r>
      <w:r w:rsidRPr="094A332B" w:rsidR="094A332B">
        <w:rPr>
          <w:rFonts w:ascii="Arial" w:hAnsi="Arial" w:eastAsia="Arial" w:cs="Arial"/>
          <w:noProof w:val="0"/>
          <w:sz w:val="24"/>
          <w:szCs w:val="24"/>
          <w:lang w:val="en-US"/>
        </w:rPr>
        <w:t xml:space="preserve"> 589–590 (2014).</w:t>
      </w:r>
    </w:p>
    <w:p w:rsidR="094A332B" w:rsidP="094A332B" w:rsidRDefault="094A332B" w14:paraId="1070E9E8" w14:textId="65015226">
      <w:pPr>
        <w:pStyle w:val="Normal"/>
      </w:pPr>
      <w:hyperlink r:id="R44dce1d1926048d0">
        <w:r w:rsidRPr="094A332B" w:rsidR="094A332B">
          <w:rPr>
            <w:rStyle w:val="Hyperlink"/>
            <w:rFonts w:ascii="Arial" w:hAnsi="Arial" w:eastAsia="Arial" w:cs="Arial"/>
            <w:noProof w:val="0"/>
            <w:sz w:val="24"/>
            <w:szCs w:val="24"/>
            <w:lang w:val="en-US"/>
          </w:rPr>
          <w:t>https://paperpile.com/shared/7v6Aic</w:t>
        </w:r>
      </w:hyperlink>
    </w:p>
    <w:p w:rsidR="094A332B" w:rsidP="094A332B" w:rsidRDefault="094A332B" w14:noSpellErr="1" w14:paraId="6327DCFC" w14:textId="3790259C">
      <w:pPr>
        <w:pStyle w:val="Normal"/>
        <w:rPr>
          <w:rFonts w:ascii="Arial" w:hAnsi="Arial" w:eastAsia="Arial" w:cs="Arial"/>
          <w:noProof w:val="0"/>
          <w:sz w:val="24"/>
          <w:szCs w:val="24"/>
          <w:lang w:val="en-US"/>
        </w:rPr>
      </w:pPr>
      <w:r w:rsidRPr="094A332B" w:rsidR="094A332B">
        <w:rPr>
          <w:rFonts w:ascii="Arial" w:hAnsi="Arial" w:eastAsia="Arial" w:cs="Arial"/>
          <w:noProof w:val="0"/>
          <w:sz w:val="24"/>
          <w:szCs w:val="24"/>
          <w:lang w:val="en-US"/>
        </w:rPr>
        <w:t xml:space="preserve">This is a paper that we published a few years ago showing that discontinuing prophylactic antimicrobials for external ventricular drains was associated with a decrease in CDI on the neurosurgical service and neuroscience ward. The was no change in the (very low) rate of EVD-associated infections. </w:t>
      </w:r>
    </w:p>
    <w:p w:rsidR="094A332B" w:rsidP="094A332B" w:rsidRDefault="094A332B" w14:noSpellErr="1" w14:paraId="45F0FE03" w14:textId="5709AD15">
      <w:pPr>
        <w:pStyle w:val="Normal"/>
        <w:rPr>
          <w:rFonts w:ascii="Arial" w:hAnsi="Arial" w:eastAsia="Arial" w:cs="Arial"/>
          <w:noProof w:val="0"/>
          <w:sz w:val="24"/>
          <w:szCs w:val="24"/>
          <w:lang w:val="en-US"/>
        </w:rPr>
      </w:pPr>
    </w:p>
    <w:p w:rsidR="094A332B" w:rsidP="094A332B" w:rsidRDefault="094A332B" w14:paraId="0A6A7A37" w14:textId="17DB4273">
      <w:pPr>
        <w:pStyle w:val="Normal"/>
      </w:pPr>
      <w:r w:rsidRPr="094A332B" w:rsidR="094A332B">
        <w:rPr>
          <w:rFonts w:ascii="Arial" w:hAnsi="Arial" w:eastAsia="Arial" w:cs="Arial"/>
          <w:noProof w:val="0"/>
          <w:sz w:val="24"/>
          <w:szCs w:val="24"/>
          <w:lang w:val="en-US"/>
        </w:rPr>
        <w:t xml:space="preserve">Balch, A., Wendelboe, A. M., Vesely, S. K. &amp; </w:t>
      </w:r>
      <w:proofErr w:type="spellStart"/>
      <w:r w:rsidRPr="094A332B" w:rsidR="094A332B">
        <w:rPr>
          <w:rFonts w:ascii="Arial" w:hAnsi="Arial" w:eastAsia="Arial" w:cs="Arial"/>
          <w:noProof w:val="0"/>
          <w:sz w:val="24"/>
          <w:szCs w:val="24"/>
          <w:lang w:val="en-US"/>
        </w:rPr>
        <w:t>Bratzler</w:t>
      </w:r>
      <w:proofErr w:type="spellEnd"/>
      <w:r w:rsidRPr="094A332B" w:rsidR="094A332B">
        <w:rPr>
          <w:rFonts w:ascii="Arial" w:hAnsi="Arial" w:eastAsia="Arial" w:cs="Arial"/>
          <w:noProof w:val="0"/>
          <w:sz w:val="24"/>
          <w:szCs w:val="24"/>
          <w:lang w:val="en-US"/>
        </w:rPr>
        <w:t xml:space="preserve">, D. W. Antibiotic prophylaxis for surgical site infections as a risk factor for infection with Clostridium difficile. </w:t>
      </w:r>
      <w:proofErr w:type="spellStart"/>
      <w:r w:rsidRPr="094A332B" w:rsidR="094A332B">
        <w:rPr>
          <w:rFonts w:ascii="Arial" w:hAnsi="Arial" w:eastAsia="Arial" w:cs="Arial"/>
          <w:i w:val="1"/>
          <w:iCs w:val="1"/>
          <w:noProof w:val="0"/>
          <w:sz w:val="24"/>
          <w:szCs w:val="24"/>
          <w:lang w:val="en-US"/>
        </w:rPr>
        <w:t>PLoS</w:t>
      </w:r>
      <w:proofErr w:type="spellEnd"/>
      <w:r w:rsidRPr="094A332B" w:rsidR="094A332B">
        <w:rPr>
          <w:rFonts w:ascii="Arial" w:hAnsi="Arial" w:eastAsia="Arial" w:cs="Arial"/>
          <w:i w:val="1"/>
          <w:iCs w:val="1"/>
          <w:noProof w:val="0"/>
          <w:sz w:val="24"/>
          <w:szCs w:val="24"/>
          <w:lang w:val="en-US"/>
        </w:rPr>
        <w:t xml:space="preserve"> One</w:t>
      </w:r>
      <w:r w:rsidRPr="094A332B" w:rsidR="094A332B">
        <w:rPr>
          <w:rFonts w:ascii="Arial" w:hAnsi="Arial" w:eastAsia="Arial" w:cs="Arial"/>
          <w:noProof w:val="0"/>
          <w:sz w:val="24"/>
          <w:szCs w:val="24"/>
          <w:lang w:val="en-US"/>
        </w:rPr>
        <w:t xml:space="preserve"> </w:t>
      </w:r>
      <w:r w:rsidRPr="094A332B" w:rsidR="094A332B">
        <w:rPr>
          <w:rFonts w:ascii="Arial" w:hAnsi="Arial" w:eastAsia="Arial" w:cs="Arial"/>
          <w:b w:val="1"/>
          <w:bCs w:val="1"/>
          <w:noProof w:val="0"/>
          <w:sz w:val="24"/>
          <w:szCs w:val="24"/>
          <w:lang w:val="en-US"/>
        </w:rPr>
        <w:t>12,</w:t>
      </w:r>
      <w:r w:rsidRPr="094A332B" w:rsidR="094A332B">
        <w:rPr>
          <w:rFonts w:ascii="Arial" w:hAnsi="Arial" w:eastAsia="Arial" w:cs="Arial"/>
          <w:noProof w:val="0"/>
          <w:sz w:val="24"/>
          <w:szCs w:val="24"/>
          <w:lang w:val="en-US"/>
        </w:rPr>
        <w:t xml:space="preserve"> e0179117 (2017).</w:t>
      </w:r>
    </w:p>
    <w:p w:rsidR="094A332B" w:rsidP="094A332B" w:rsidRDefault="094A332B" w14:paraId="7A743BEB" w14:textId="70D94297">
      <w:pPr>
        <w:pStyle w:val="Normal"/>
      </w:pPr>
      <w:hyperlink r:id="R67ad819adb5f451f">
        <w:r w:rsidRPr="094A332B" w:rsidR="094A332B">
          <w:rPr>
            <w:rStyle w:val="Hyperlink"/>
            <w:rFonts w:ascii="Arial" w:hAnsi="Arial" w:eastAsia="Arial" w:cs="Arial"/>
            <w:noProof w:val="0"/>
            <w:sz w:val="24"/>
            <w:szCs w:val="24"/>
            <w:lang w:val="en-US"/>
          </w:rPr>
          <w:t>https://paperpile.com/shared/HGpu1S</w:t>
        </w:r>
      </w:hyperlink>
    </w:p>
    <w:p w:rsidR="094A332B" w:rsidP="094A332B" w:rsidRDefault="094A332B" w14:noSpellErr="1" w14:paraId="03D9E1A7" w14:textId="66B42858">
      <w:pPr>
        <w:pStyle w:val="Normal"/>
        <w:rPr>
          <w:rFonts w:ascii="Arial" w:hAnsi="Arial" w:eastAsia="Arial" w:cs="Arial"/>
          <w:noProof w:val="0"/>
          <w:sz w:val="24"/>
          <w:szCs w:val="24"/>
          <w:lang w:val="en-US"/>
        </w:rPr>
      </w:pPr>
      <w:r w:rsidRPr="094A332B" w:rsidR="094A332B">
        <w:rPr>
          <w:rFonts w:ascii="Arial" w:hAnsi="Arial" w:eastAsia="Arial" w:cs="Arial"/>
          <w:noProof w:val="0"/>
          <w:sz w:val="24"/>
          <w:szCs w:val="24"/>
          <w:lang w:val="en-US"/>
        </w:rPr>
        <w:t xml:space="preserve">In this study published last year, CDI risk increased </w:t>
      </w:r>
      <w:r w:rsidRPr="094A332B" w:rsidR="094A332B">
        <w:rPr>
          <w:rFonts w:ascii="Arial" w:hAnsi="Arial" w:eastAsia="Arial" w:cs="Arial"/>
          <w:noProof w:val="0"/>
          <w:sz w:val="24"/>
          <w:szCs w:val="24"/>
          <w:lang w:val="en-US"/>
        </w:rPr>
        <w:t>6.7-fold</w:t>
      </w:r>
      <w:r w:rsidRPr="094A332B" w:rsidR="094A332B">
        <w:rPr>
          <w:rFonts w:ascii="Arial" w:hAnsi="Arial" w:eastAsia="Arial" w:cs="Arial"/>
          <w:noProof w:val="0"/>
          <w:sz w:val="24"/>
          <w:szCs w:val="24"/>
          <w:lang w:val="en-US"/>
        </w:rPr>
        <w:t xml:space="preserve"> (adjusted odds ratio) among patients who received incorrect antimicrobial prophylaxis. Incorrect prophylaxis was predominantly receiving antibiotics &gt;24 hours post-operatively. </w:t>
      </w:r>
    </w:p>
    <w:p w:rsidR="094A332B" w:rsidP="094A332B" w:rsidRDefault="094A332B" w14:noSpellErr="1" w14:paraId="2274DDC4" w14:textId="50938E71">
      <w:pPr>
        <w:pStyle w:val="Normal"/>
        <w:rPr>
          <w:rFonts w:ascii="Arial" w:hAnsi="Arial" w:eastAsia="Arial" w:cs="Arial"/>
          <w:noProof w:val="0"/>
          <w:sz w:val="24"/>
          <w:szCs w:val="24"/>
          <w:lang w:val="en-US"/>
        </w:rPr>
      </w:pPr>
    </w:p>
    <w:p w:rsidR="094A332B" w:rsidP="094A332B" w:rsidRDefault="094A332B" w14:noSpellErr="1" w14:paraId="4B4F8896" w14:textId="03605C1B">
      <w:pPr>
        <w:pStyle w:val="Normal"/>
        <w:rPr>
          <w:rFonts w:ascii="Arial" w:hAnsi="Arial" w:eastAsia="Arial" w:cs="Arial"/>
          <w:noProof w:val="0"/>
          <w:sz w:val="24"/>
          <w:szCs w:val="24"/>
          <w:lang w:val="en-US"/>
        </w:rPr>
      </w:pPr>
      <w:r w:rsidRPr="094A332B" w:rsidR="094A332B">
        <w:rPr>
          <w:rFonts w:ascii="Arial" w:hAnsi="Arial" w:eastAsia="Arial" w:cs="Arial"/>
          <w:noProof w:val="0"/>
          <w:sz w:val="24"/>
          <w:szCs w:val="24"/>
          <w:lang w:val="en-US"/>
        </w:rPr>
        <w:t xml:space="preserve">Another key message is that there are no associated benefits to extending SSI prophylaxis beyond current recommendations. The efforts should be focused on appropriate antimicrobial choice, optimal timing, correct dosing and redosing (if needed) instead of extending therapy. </w:t>
      </w:r>
    </w:p>
    <w:p xmlns:wp14="http://schemas.microsoft.com/office/word/2010/wordml" w:rsidR="00A272E0" w:rsidP="0051140B" w:rsidRDefault="00A272E0" w14:paraId="5DAB6C7B" wp14:textId="77777777">
      <w:pPr>
        <w:rPr>
          <w:rFonts w:ascii="Arial" w:hAnsi="Arial" w:cs="Arial"/>
          <w:b/>
          <w:sz w:val="24"/>
          <w:szCs w:val="24"/>
        </w:rPr>
      </w:pPr>
    </w:p>
    <w:p xmlns:wp14="http://schemas.microsoft.com/office/word/2010/wordml" w:rsidRPr="00BA2C33" w:rsidR="00A272E0" w:rsidP="094A332B" w:rsidRDefault="00A272E0" w14:paraId="391B3D2C" wp14:textId="77777777" wp14:noSpellErr="1">
      <w:pPr>
        <w:rPr>
          <w:rFonts w:ascii="Arial" w:hAnsi="Arial" w:cs="Arial"/>
          <w:sz w:val="24"/>
          <w:szCs w:val="24"/>
        </w:rPr>
      </w:pPr>
      <w:r w:rsidRPr="094A332B" w:rsidR="094A332B">
        <w:rPr>
          <w:rFonts w:ascii="Arial" w:hAnsi="Arial" w:cs="Arial"/>
          <w:b w:val="1"/>
          <w:bCs w:val="1"/>
          <w:sz w:val="24"/>
          <w:szCs w:val="24"/>
        </w:rPr>
        <w:t>#2.</w:t>
      </w:r>
      <w:r w:rsidRPr="094A332B" w:rsidR="094A332B">
        <w:rPr>
          <w:rFonts w:ascii="Arial" w:hAnsi="Arial" w:cs="Arial"/>
          <w:b w:val="1"/>
          <w:bCs w:val="1"/>
          <w:sz w:val="24"/>
          <w:szCs w:val="24"/>
        </w:rPr>
        <w:t xml:space="preserve">  </w:t>
      </w:r>
      <w:r w:rsidRPr="094A332B" w:rsidR="094A332B">
        <w:rPr>
          <w:rFonts w:ascii="Arial" w:hAnsi="Arial" w:cs="Arial"/>
          <w:b w:val="1"/>
          <w:bCs w:val="1"/>
          <w:sz w:val="24"/>
          <w:szCs w:val="24"/>
        </w:rPr>
        <w:t>Are there benefits to mupirocin</w:t>
      </w:r>
      <w:r w:rsidRPr="094A332B" w:rsidR="094A332B">
        <w:rPr>
          <w:rFonts w:ascii="Arial" w:hAnsi="Arial" w:cs="Arial"/>
          <w:b w:val="1"/>
          <w:bCs w:val="1"/>
          <w:sz w:val="24"/>
          <w:szCs w:val="24"/>
        </w:rPr>
        <w:t xml:space="preserve"> susceptibility testing in any setting?</w:t>
      </w:r>
    </w:p>
    <w:p w:rsidR="094A332B" w:rsidP="094A332B" w:rsidRDefault="094A332B" w14:paraId="2E0A144B" w14:textId="0981DECA">
      <w:pPr>
        <w:pStyle w:val="Normal"/>
        <w:rPr>
          <w:rFonts w:ascii="Arial" w:hAnsi="Arial" w:cs="Arial"/>
          <w:b w:val="0"/>
          <w:bCs w:val="0"/>
          <w:i w:val="0"/>
          <w:iCs w:val="0"/>
          <w:sz w:val="24"/>
          <w:szCs w:val="24"/>
        </w:rPr>
      </w:pPr>
      <w:r w:rsidRPr="094A332B" w:rsidR="094A332B">
        <w:rPr>
          <w:rFonts w:ascii="Arial" w:hAnsi="Arial" w:cs="Arial"/>
          <w:b w:val="0"/>
          <w:bCs w:val="0"/>
          <w:sz w:val="24"/>
          <w:szCs w:val="24"/>
        </w:rPr>
        <w:t xml:space="preserve">Interesting question. I do not know of any clinical microbiology labs that are performing mupirocin susceptibility tests, including in the UW system. We are pretty sure that no automated system includes mupirocin for any bacteria including </w:t>
      </w:r>
      <w:r w:rsidRPr="094A332B" w:rsidR="094A332B">
        <w:rPr>
          <w:rFonts w:ascii="Arial" w:hAnsi="Arial" w:cs="Arial"/>
          <w:b w:val="0"/>
          <w:bCs w:val="0"/>
          <w:i w:val="1"/>
          <w:iCs w:val="1"/>
          <w:sz w:val="24"/>
          <w:szCs w:val="24"/>
        </w:rPr>
        <w:t>S. aureus</w:t>
      </w:r>
      <w:r w:rsidRPr="094A332B" w:rsidR="094A332B">
        <w:rPr>
          <w:rFonts w:ascii="Arial" w:hAnsi="Arial" w:cs="Arial"/>
          <w:b w:val="0"/>
          <w:bCs w:val="0"/>
          <w:i w:val="0"/>
          <w:iCs w:val="0"/>
          <w:sz w:val="24"/>
          <w:szCs w:val="24"/>
        </w:rPr>
        <w:t xml:space="preserve">. As you mentioned, mupirocin susceptibility can be determined by Kirby Bauer (disk diffusion) </w:t>
      </w:r>
      <w:r w:rsidRPr="094A332B" w:rsidR="094A332B">
        <w:rPr>
          <w:rFonts w:ascii="Arial" w:hAnsi="Arial" w:cs="Arial"/>
          <w:b w:val="0"/>
          <w:bCs w:val="0"/>
          <w:i w:val="0"/>
          <w:iCs w:val="0"/>
          <w:sz w:val="24"/>
          <w:szCs w:val="24"/>
        </w:rPr>
        <w:t>assay but</w:t>
      </w:r>
      <w:r w:rsidRPr="094A332B" w:rsidR="094A332B">
        <w:rPr>
          <w:rFonts w:ascii="Arial" w:hAnsi="Arial" w:cs="Arial"/>
          <w:b w:val="0"/>
          <w:bCs w:val="0"/>
          <w:i w:val="0"/>
          <w:iCs w:val="0"/>
          <w:sz w:val="24"/>
          <w:szCs w:val="24"/>
        </w:rPr>
        <w:t xml:space="preserve"> can also be </w:t>
      </w:r>
      <w:r w:rsidRPr="094A332B" w:rsidR="094A332B">
        <w:rPr>
          <w:rFonts w:ascii="Arial" w:hAnsi="Arial" w:cs="Arial"/>
          <w:b w:val="0"/>
          <w:bCs w:val="0"/>
          <w:i w:val="0"/>
          <w:iCs w:val="0"/>
          <w:sz w:val="24"/>
          <w:szCs w:val="24"/>
        </w:rPr>
        <w:t xml:space="preserve">determined using PCR to detect </w:t>
      </w:r>
      <w:proofErr w:type="spellStart"/>
      <w:r w:rsidRPr="094A332B" w:rsidR="094A332B">
        <w:rPr>
          <w:rFonts w:ascii="Arial" w:hAnsi="Arial" w:cs="Arial"/>
          <w:b w:val="0"/>
          <w:bCs w:val="0"/>
          <w:i w:val="1"/>
          <w:iCs w:val="1"/>
          <w:sz w:val="24"/>
          <w:szCs w:val="24"/>
        </w:rPr>
        <w:t>mupA</w:t>
      </w:r>
      <w:proofErr w:type="spellEnd"/>
      <w:r w:rsidRPr="094A332B" w:rsidR="094A332B">
        <w:rPr>
          <w:rFonts w:ascii="Arial" w:hAnsi="Arial" w:cs="Arial"/>
          <w:b w:val="0"/>
          <w:bCs w:val="0"/>
          <w:i w:val="0"/>
          <w:iCs w:val="0"/>
          <w:sz w:val="24"/>
          <w:szCs w:val="24"/>
        </w:rPr>
        <w:t xml:space="preserve">. I don’t have access to the CLSI breakpoints, but EUCAST presents only ECOFFs. PCR-based surveillance will only detect low-level resistance due to </w:t>
      </w:r>
      <w:proofErr w:type="spellStart"/>
      <w:r w:rsidRPr="094A332B" w:rsidR="094A332B">
        <w:rPr>
          <w:rFonts w:ascii="Arial" w:hAnsi="Arial" w:cs="Arial"/>
          <w:b w:val="0"/>
          <w:bCs w:val="0"/>
          <w:i w:val="1"/>
          <w:iCs w:val="1"/>
          <w:sz w:val="24"/>
          <w:szCs w:val="24"/>
        </w:rPr>
        <w:t>mupA</w:t>
      </w:r>
      <w:proofErr w:type="spellEnd"/>
      <w:r w:rsidRPr="094A332B" w:rsidR="094A332B">
        <w:rPr>
          <w:rFonts w:ascii="Arial" w:hAnsi="Arial" w:cs="Arial"/>
          <w:b w:val="0"/>
          <w:bCs w:val="0"/>
          <w:i w:val="0"/>
          <w:iCs w:val="0"/>
          <w:sz w:val="24"/>
          <w:szCs w:val="24"/>
        </w:rPr>
        <w:t xml:space="preserve">, but will miss high level resistance due to other mechanisms, making surveillance challenging overall. </w:t>
      </w:r>
    </w:p>
    <w:p w:rsidR="094A332B" w:rsidP="094A332B" w:rsidRDefault="094A332B" w14:noSpellErr="1" w14:paraId="25C891CF" w14:textId="768FE621">
      <w:pPr>
        <w:pStyle w:val="Normal"/>
        <w:rPr>
          <w:rFonts w:ascii="Arial" w:hAnsi="Arial" w:cs="Arial"/>
          <w:b w:val="0"/>
          <w:bCs w:val="0"/>
          <w:i w:val="0"/>
          <w:iCs w:val="0"/>
          <w:sz w:val="24"/>
          <w:szCs w:val="24"/>
        </w:rPr>
      </w:pPr>
      <w:r w:rsidRPr="094A332B" w:rsidR="094A332B">
        <w:rPr>
          <w:rFonts w:ascii="Arial" w:hAnsi="Arial" w:cs="Arial"/>
          <w:b w:val="0"/>
          <w:bCs w:val="0"/>
          <w:i w:val="0"/>
          <w:iCs w:val="0"/>
          <w:sz w:val="24"/>
          <w:szCs w:val="24"/>
        </w:rPr>
        <w:t xml:space="preserve">If clinicians are concerned about mupirocin prophylaxis failures, it may be worth doing a one-time cross-sectional sample that can be sent to a reference lab. </w:t>
      </w:r>
      <w:r w:rsidRPr="094A332B" w:rsidR="094A332B">
        <w:rPr>
          <w:rFonts w:ascii="Arial" w:hAnsi="Arial" w:cs="Arial"/>
          <w:b w:val="0"/>
          <w:bCs w:val="0"/>
          <w:i w:val="0"/>
          <w:iCs w:val="0"/>
          <w:sz w:val="24"/>
          <w:szCs w:val="24"/>
        </w:rPr>
        <w:t>Alternatively,</w:t>
      </w:r>
      <w:r w:rsidRPr="094A332B" w:rsidR="094A332B">
        <w:rPr>
          <w:rFonts w:ascii="Arial" w:hAnsi="Arial" w:cs="Arial"/>
          <w:b w:val="0"/>
          <w:bCs w:val="0"/>
          <w:i w:val="0"/>
          <w:iCs w:val="0"/>
          <w:sz w:val="24"/>
          <w:szCs w:val="24"/>
        </w:rPr>
        <w:t xml:space="preserve"> the hospital can consider alternatives to mupirocin, like nasal povidone-iodine or alcohol-based products. </w:t>
      </w:r>
      <w:r w:rsidRPr="094A332B" w:rsidR="094A332B">
        <w:rPr>
          <w:rFonts w:ascii="Arial" w:hAnsi="Arial" w:cs="Arial"/>
          <w:b w:val="0"/>
          <w:bCs w:val="0"/>
          <w:i w:val="0"/>
          <w:iCs w:val="0"/>
          <w:sz w:val="24"/>
          <w:szCs w:val="24"/>
        </w:rPr>
        <w:t xml:space="preserve"> </w:t>
      </w:r>
    </w:p>
    <w:p w:rsidR="094A332B" w:rsidP="094A332B" w:rsidRDefault="094A332B" w14:paraId="33D011E4" w14:textId="664001EC">
      <w:pPr>
        <w:pStyle w:val="Normal"/>
        <w:rPr>
          <w:rFonts w:ascii="Arial" w:hAnsi="Arial" w:cs="Arial"/>
          <w:b w:val="0"/>
          <w:bCs w:val="0"/>
          <w:i w:val="0"/>
          <w:iCs w:val="0"/>
          <w:sz w:val="24"/>
          <w:szCs w:val="24"/>
        </w:rPr>
      </w:pPr>
    </w:p>
    <w:sectPr w:rsidRPr="00BA2C33" w:rsidR="00A272E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5BB7"/>
    <w:multiLevelType w:val="hybridMultilevel"/>
    <w:tmpl w:val="DE9CC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72588"/>
    <w:multiLevelType w:val="hybridMultilevel"/>
    <w:tmpl w:val="0D8AE22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nsid w:val="249A6AD6"/>
    <w:multiLevelType w:val="hybridMultilevel"/>
    <w:tmpl w:val="51FA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52204"/>
    <w:multiLevelType w:val="hybridMultilevel"/>
    <w:tmpl w:val="56B82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2C765A97"/>
    <w:multiLevelType w:val="hybridMultilevel"/>
    <w:tmpl w:val="556C9F5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nsid w:val="31FF436C"/>
    <w:multiLevelType w:val="hybridMultilevel"/>
    <w:tmpl w:val="9C5292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24A05A0"/>
    <w:multiLevelType w:val="hybridMultilevel"/>
    <w:tmpl w:val="E216E508"/>
    <w:lvl w:ilvl="0" w:tplc="207EF6D6">
      <w:start w:val="1"/>
      <w:numFmt w:val="bullet"/>
      <w:lvlText w:val="•"/>
      <w:lvlJc w:val="left"/>
      <w:pPr>
        <w:tabs>
          <w:tab w:val="num" w:pos="720"/>
        </w:tabs>
        <w:ind w:left="720" w:hanging="360"/>
      </w:pPr>
      <w:rPr>
        <w:rFonts w:hint="default" w:ascii="Times New Roman" w:hAnsi="Times New Roman"/>
      </w:rPr>
    </w:lvl>
    <w:lvl w:ilvl="1" w:tplc="38A0D610" w:tentative="1">
      <w:start w:val="1"/>
      <w:numFmt w:val="bullet"/>
      <w:lvlText w:val="•"/>
      <w:lvlJc w:val="left"/>
      <w:pPr>
        <w:tabs>
          <w:tab w:val="num" w:pos="1440"/>
        </w:tabs>
        <w:ind w:left="1440" w:hanging="360"/>
      </w:pPr>
      <w:rPr>
        <w:rFonts w:hint="default" w:ascii="Times New Roman" w:hAnsi="Times New Roman"/>
      </w:rPr>
    </w:lvl>
    <w:lvl w:ilvl="2" w:tplc="A5AADF90" w:tentative="1">
      <w:start w:val="1"/>
      <w:numFmt w:val="bullet"/>
      <w:lvlText w:val="•"/>
      <w:lvlJc w:val="left"/>
      <w:pPr>
        <w:tabs>
          <w:tab w:val="num" w:pos="2160"/>
        </w:tabs>
        <w:ind w:left="2160" w:hanging="360"/>
      </w:pPr>
      <w:rPr>
        <w:rFonts w:hint="default" w:ascii="Times New Roman" w:hAnsi="Times New Roman"/>
      </w:rPr>
    </w:lvl>
    <w:lvl w:ilvl="3" w:tplc="466AB0FC" w:tentative="1">
      <w:start w:val="1"/>
      <w:numFmt w:val="bullet"/>
      <w:lvlText w:val="•"/>
      <w:lvlJc w:val="left"/>
      <w:pPr>
        <w:tabs>
          <w:tab w:val="num" w:pos="2880"/>
        </w:tabs>
        <w:ind w:left="2880" w:hanging="360"/>
      </w:pPr>
      <w:rPr>
        <w:rFonts w:hint="default" w:ascii="Times New Roman" w:hAnsi="Times New Roman"/>
      </w:rPr>
    </w:lvl>
    <w:lvl w:ilvl="4" w:tplc="62108AB8" w:tentative="1">
      <w:start w:val="1"/>
      <w:numFmt w:val="bullet"/>
      <w:lvlText w:val="•"/>
      <w:lvlJc w:val="left"/>
      <w:pPr>
        <w:tabs>
          <w:tab w:val="num" w:pos="3600"/>
        </w:tabs>
        <w:ind w:left="3600" w:hanging="360"/>
      </w:pPr>
      <w:rPr>
        <w:rFonts w:hint="default" w:ascii="Times New Roman" w:hAnsi="Times New Roman"/>
      </w:rPr>
    </w:lvl>
    <w:lvl w:ilvl="5" w:tplc="163C685A" w:tentative="1">
      <w:start w:val="1"/>
      <w:numFmt w:val="bullet"/>
      <w:lvlText w:val="•"/>
      <w:lvlJc w:val="left"/>
      <w:pPr>
        <w:tabs>
          <w:tab w:val="num" w:pos="4320"/>
        </w:tabs>
        <w:ind w:left="4320" w:hanging="360"/>
      </w:pPr>
      <w:rPr>
        <w:rFonts w:hint="default" w:ascii="Times New Roman" w:hAnsi="Times New Roman"/>
      </w:rPr>
    </w:lvl>
    <w:lvl w:ilvl="6" w:tplc="C942781A" w:tentative="1">
      <w:start w:val="1"/>
      <w:numFmt w:val="bullet"/>
      <w:lvlText w:val="•"/>
      <w:lvlJc w:val="left"/>
      <w:pPr>
        <w:tabs>
          <w:tab w:val="num" w:pos="5040"/>
        </w:tabs>
        <w:ind w:left="5040" w:hanging="360"/>
      </w:pPr>
      <w:rPr>
        <w:rFonts w:hint="default" w:ascii="Times New Roman" w:hAnsi="Times New Roman"/>
      </w:rPr>
    </w:lvl>
    <w:lvl w:ilvl="7" w:tplc="DED4FB10" w:tentative="1">
      <w:start w:val="1"/>
      <w:numFmt w:val="bullet"/>
      <w:lvlText w:val="•"/>
      <w:lvlJc w:val="left"/>
      <w:pPr>
        <w:tabs>
          <w:tab w:val="num" w:pos="5760"/>
        </w:tabs>
        <w:ind w:left="5760" w:hanging="360"/>
      </w:pPr>
      <w:rPr>
        <w:rFonts w:hint="default" w:ascii="Times New Roman" w:hAnsi="Times New Roman"/>
      </w:rPr>
    </w:lvl>
    <w:lvl w:ilvl="8" w:tplc="3A2E6482" w:tentative="1">
      <w:start w:val="1"/>
      <w:numFmt w:val="bullet"/>
      <w:lvlText w:val="•"/>
      <w:lvlJc w:val="left"/>
      <w:pPr>
        <w:tabs>
          <w:tab w:val="num" w:pos="6480"/>
        </w:tabs>
        <w:ind w:left="6480" w:hanging="360"/>
      </w:pPr>
      <w:rPr>
        <w:rFonts w:hint="default" w:ascii="Times New Roman" w:hAnsi="Times New Roman"/>
      </w:rPr>
    </w:lvl>
  </w:abstractNum>
  <w:abstractNum w:abstractNumId="9">
    <w:nsid w:val="37E33E82"/>
    <w:multiLevelType w:val="hybridMultilevel"/>
    <w:tmpl w:val="F0DA8F6A"/>
    <w:lvl w:ilvl="0" w:tplc="FAD2DB6A">
      <w:numFmt w:val="bullet"/>
      <w:lvlText w:val="-"/>
      <w:lvlJc w:val="left"/>
      <w:pPr>
        <w:ind w:left="720" w:hanging="360"/>
      </w:pPr>
      <w:rPr>
        <w:rFonts w:hint="default" w:ascii="Corbel" w:hAnsi="Corbe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3E3828B5"/>
    <w:multiLevelType w:val="hybridMultilevel"/>
    <w:tmpl w:val="DCB83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787F83"/>
    <w:multiLevelType w:val="hybridMultilevel"/>
    <w:tmpl w:val="4988462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0B6D47"/>
    <w:multiLevelType w:val="hybridMultilevel"/>
    <w:tmpl w:val="3CAC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20375"/>
    <w:multiLevelType w:val="hybridMultilevel"/>
    <w:tmpl w:val="0A9E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10E20"/>
    <w:multiLevelType w:val="hybridMultilevel"/>
    <w:tmpl w:val="38DA921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9D3855"/>
    <w:multiLevelType w:val="hybridMultilevel"/>
    <w:tmpl w:val="269C8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12"/>
  </w:num>
  <w:num w:numId="5">
    <w:abstractNumId w:val="0"/>
  </w:num>
  <w:num w:numId="6">
    <w:abstractNumId w:val="2"/>
  </w:num>
  <w:num w:numId="7">
    <w:abstractNumId w:val="15"/>
  </w:num>
  <w:num w:numId="8">
    <w:abstractNumId w:val="1"/>
  </w:num>
  <w:num w:numId="9">
    <w:abstractNumId w:val="8"/>
  </w:num>
  <w:num w:numId="10">
    <w:abstractNumId w:val="14"/>
  </w:num>
  <w:num w:numId="11">
    <w:abstractNumId w:val="13"/>
  </w:num>
  <w:num w:numId="12">
    <w:abstractNumId w:val="4"/>
  </w:num>
  <w:num w:numId="13">
    <w:abstractNumId w:val="10"/>
  </w:num>
  <w:num w:numId="14">
    <w:abstractNumId w:val="17"/>
  </w:num>
  <w:num w:numId="15">
    <w:abstractNumId w:val="3"/>
  </w:num>
  <w:num w:numId="16">
    <w:abstractNumId w:val="11"/>
  </w:num>
  <w:num w:numId="17">
    <w:abstractNumId w:val="7"/>
  </w:num>
  <w:num w:numId="18">
    <w:abstractNumId w:val="6"/>
  </w:num>
  <w:num w:numId="1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1C"/>
    <w:rsid w:val="00010AC2"/>
    <w:rsid w:val="00092FF7"/>
    <w:rsid w:val="000D6083"/>
    <w:rsid w:val="001637AE"/>
    <w:rsid w:val="001F3DA6"/>
    <w:rsid w:val="00271373"/>
    <w:rsid w:val="002D4F3B"/>
    <w:rsid w:val="002F40F7"/>
    <w:rsid w:val="00302DD1"/>
    <w:rsid w:val="00345429"/>
    <w:rsid w:val="003B46EE"/>
    <w:rsid w:val="003B4AAD"/>
    <w:rsid w:val="003D7D93"/>
    <w:rsid w:val="003F72E0"/>
    <w:rsid w:val="00445BAD"/>
    <w:rsid w:val="004542C8"/>
    <w:rsid w:val="004D4A9A"/>
    <w:rsid w:val="004E3599"/>
    <w:rsid w:val="004E3E3C"/>
    <w:rsid w:val="0051140B"/>
    <w:rsid w:val="0054231C"/>
    <w:rsid w:val="00545B9C"/>
    <w:rsid w:val="0055164A"/>
    <w:rsid w:val="00567576"/>
    <w:rsid w:val="005A33D6"/>
    <w:rsid w:val="005C5071"/>
    <w:rsid w:val="005D4FDE"/>
    <w:rsid w:val="00641483"/>
    <w:rsid w:val="0072149D"/>
    <w:rsid w:val="00745764"/>
    <w:rsid w:val="00765DE2"/>
    <w:rsid w:val="00792EBC"/>
    <w:rsid w:val="007B3ED0"/>
    <w:rsid w:val="007D181A"/>
    <w:rsid w:val="0080209A"/>
    <w:rsid w:val="0084391C"/>
    <w:rsid w:val="008851F3"/>
    <w:rsid w:val="008B0E43"/>
    <w:rsid w:val="008C0906"/>
    <w:rsid w:val="00943280"/>
    <w:rsid w:val="0095053C"/>
    <w:rsid w:val="00957CFC"/>
    <w:rsid w:val="00977BC4"/>
    <w:rsid w:val="00983F99"/>
    <w:rsid w:val="009C3564"/>
    <w:rsid w:val="009E6D33"/>
    <w:rsid w:val="00A272E0"/>
    <w:rsid w:val="00A4505B"/>
    <w:rsid w:val="00A544D0"/>
    <w:rsid w:val="00A718D3"/>
    <w:rsid w:val="00AA76D8"/>
    <w:rsid w:val="00AC0BAD"/>
    <w:rsid w:val="00AD587A"/>
    <w:rsid w:val="00AF04DB"/>
    <w:rsid w:val="00B74D33"/>
    <w:rsid w:val="00B81A15"/>
    <w:rsid w:val="00BA2C33"/>
    <w:rsid w:val="00BD1AAC"/>
    <w:rsid w:val="00BD5443"/>
    <w:rsid w:val="00C41964"/>
    <w:rsid w:val="00C53B73"/>
    <w:rsid w:val="00CA6830"/>
    <w:rsid w:val="00D05950"/>
    <w:rsid w:val="00D16707"/>
    <w:rsid w:val="00D2053A"/>
    <w:rsid w:val="00D42177"/>
    <w:rsid w:val="00D62AFE"/>
    <w:rsid w:val="00DF7004"/>
    <w:rsid w:val="00E3324F"/>
    <w:rsid w:val="00E76161"/>
    <w:rsid w:val="00F04E3A"/>
    <w:rsid w:val="00F31911"/>
    <w:rsid w:val="00F3462A"/>
    <w:rsid w:val="00F56E75"/>
    <w:rsid w:val="00F633D6"/>
    <w:rsid w:val="00F65E13"/>
    <w:rsid w:val="00F7028B"/>
    <w:rsid w:val="00F87BEA"/>
    <w:rsid w:val="00FD36AF"/>
    <w:rsid w:val="094A332B"/>
    <w:rsid w:val="2A94A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15:docId w15:val="{162146e0-33c5-4b0f-9a8f-2fa062b81e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2">
    <w:name w:val="heading 2"/>
    <w:basedOn w:val="Normal"/>
    <w:link w:val="Heading2Char"/>
    <w:uiPriority w:val="9"/>
    <w:qFormat/>
    <w:rsid w:val="00DF7004"/>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Hyperlink">
    <w:name w:val="Hyperlink"/>
    <w:basedOn w:val="DefaultParagraphFont"/>
    <w:uiPriority w:val="99"/>
    <w:unhideWhenUsed/>
    <w:rsid w:val="000D6083"/>
    <w:rPr>
      <w:color w:val="0000FF"/>
      <w:u w:val="single"/>
    </w:rPr>
  </w:style>
  <w:style w:type="character" w:styleId="pp-pub-journal1" w:customStyle="1">
    <w:name w:val="pp-pub-journal1"/>
    <w:basedOn w:val="DefaultParagraphFont"/>
    <w:rsid w:val="0095053C"/>
    <w:rPr>
      <w:i/>
      <w:iCs/>
      <w:color w:val="008000"/>
    </w:rPr>
  </w:style>
  <w:style w:type="character" w:styleId="pp-pub-year" w:customStyle="1">
    <w:name w:val="pp-pub-year"/>
    <w:basedOn w:val="DefaultParagraphFont"/>
    <w:rsid w:val="0095053C"/>
  </w:style>
  <w:style w:type="character" w:styleId="pp-pub-type1" w:customStyle="1">
    <w:name w:val="pp-pub-type1"/>
    <w:basedOn w:val="DefaultParagraphFont"/>
    <w:rsid w:val="0095053C"/>
    <w:rPr>
      <w:color w:val="B3B3B3"/>
    </w:rPr>
  </w:style>
  <w:style w:type="character" w:styleId="pp-pub-abstract-icon1" w:customStyle="1">
    <w:name w:val="pp-pub-abstract-icon1"/>
    <w:basedOn w:val="DefaultParagraphFont"/>
    <w:rsid w:val="0095053C"/>
    <w:rPr>
      <w:color w:val="BFBFBF"/>
      <w:sz w:val="17"/>
      <w:szCs w:val="17"/>
    </w:rPr>
  </w:style>
  <w:style w:type="character" w:styleId="Heading2Char" w:customStyle="1">
    <w:name w:val="Heading 2 Char"/>
    <w:basedOn w:val="DefaultParagraphFont"/>
    <w:link w:val="Heading2"/>
    <w:uiPriority w:val="9"/>
    <w:rsid w:val="00DF7004"/>
    <w:rPr>
      <w:rFonts w:ascii="Times New Roman" w:hAnsi="Times New Roman" w:eastAsia="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7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 w:type="character" w:customStyle="1" w:styleId="Heading2Char">
    <w:name w:val="Heading 2 Char"/>
    <w:basedOn w:val="DefaultParagraphFont"/>
    <w:link w:val="Heading2"/>
    <w:uiPriority w:val="9"/>
    <w:rsid w:val="00DF700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5972">
      <w:bodyDiv w:val="1"/>
      <w:marLeft w:val="0"/>
      <w:marRight w:val="0"/>
      <w:marTop w:val="0"/>
      <w:marBottom w:val="0"/>
      <w:divBdr>
        <w:top w:val="none" w:sz="0" w:space="0" w:color="auto"/>
        <w:left w:val="none" w:sz="0" w:space="0" w:color="auto"/>
        <w:bottom w:val="none" w:sz="0" w:space="0" w:color="auto"/>
        <w:right w:val="none" w:sz="0" w:space="0" w:color="auto"/>
      </w:divBdr>
    </w:div>
    <w:div w:id="353118726">
      <w:bodyDiv w:val="1"/>
      <w:marLeft w:val="0"/>
      <w:marRight w:val="0"/>
      <w:marTop w:val="0"/>
      <w:marBottom w:val="0"/>
      <w:divBdr>
        <w:top w:val="none" w:sz="0" w:space="0" w:color="auto"/>
        <w:left w:val="none" w:sz="0" w:space="0" w:color="auto"/>
        <w:bottom w:val="none" w:sz="0" w:space="0" w:color="auto"/>
        <w:right w:val="none" w:sz="0" w:space="0" w:color="auto"/>
      </w:divBdr>
    </w:div>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4554">
      <w:bodyDiv w:val="1"/>
      <w:marLeft w:val="0"/>
      <w:marRight w:val="0"/>
      <w:marTop w:val="0"/>
      <w:marBottom w:val="0"/>
      <w:divBdr>
        <w:top w:val="none" w:sz="0" w:space="0" w:color="auto"/>
        <w:left w:val="none" w:sz="0" w:space="0" w:color="auto"/>
        <w:bottom w:val="none" w:sz="0" w:space="0" w:color="auto"/>
        <w:right w:val="none" w:sz="0" w:space="0" w:color="auto"/>
      </w:divBdr>
      <w:divsChild>
        <w:div w:id="707418471">
          <w:marLeft w:val="0"/>
          <w:marRight w:val="0"/>
          <w:marTop w:val="96"/>
          <w:marBottom w:val="0"/>
          <w:divBdr>
            <w:top w:val="none" w:sz="0" w:space="0" w:color="auto"/>
            <w:left w:val="none" w:sz="0" w:space="0" w:color="auto"/>
            <w:bottom w:val="none" w:sz="0" w:space="0" w:color="auto"/>
            <w:right w:val="none" w:sz="0" w:space="0" w:color="auto"/>
          </w:divBdr>
        </w:div>
      </w:divsChild>
    </w:div>
    <w:div w:id="20227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aperpile.com/shared/HBsG7R" TargetMode="External" Id="Rdc3e726bca9d44e8" /><Relationship Type="http://schemas.openxmlformats.org/officeDocument/2006/relationships/hyperlink" Target="https://paperpile.com/shared/7v6Aic" TargetMode="External" Id="R44dce1d1926048d0" /><Relationship Type="http://schemas.openxmlformats.org/officeDocument/2006/relationships/hyperlink" Target="https://paperpile.com/shared/HGpu1S" TargetMode="External" Id="R67ad819adb5f45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621893-A93A-4816-9FA5-F7613A6C8B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UW Medicine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Lynch, John B</dc:creator>
  <lastModifiedBy>John B. Lynch</lastModifiedBy>
  <revision>4</revision>
  <dcterms:created xsi:type="dcterms:W3CDTF">2018-08-16T23:58:00.0000000Z</dcterms:created>
  <dcterms:modified xsi:type="dcterms:W3CDTF">2018-09-18T04:09:13.6592748Z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y fmtid="{D5CDD505-2E9C-101B-9397-08002B2CF9AE}" pid="3" name="Mendeley Document_1">
    <vt:lpwstr>True</vt:lpwstr>
  </property>
  <property fmtid="{D5CDD505-2E9C-101B-9397-08002B2CF9AE}" pid="4" name="Mendeley Unique User Id_1">
    <vt:lpwstr>d8c9c4f4-9e43-38eb-8837-f5f670285650</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