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82842" w14:textId="77777777" w:rsidR="009E6D33" w:rsidRPr="002F40F7" w:rsidRDefault="0084391C" w:rsidP="00A544D0">
      <w:pPr>
        <w:jc w:val="center"/>
        <w:rPr>
          <w:rFonts w:ascii="Arial" w:hAnsi="Arial" w:cs="Arial"/>
          <w:sz w:val="24"/>
          <w:szCs w:val="24"/>
        </w:rPr>
      </w:pPr>
      <w:r w:rsidRPr="002F40F7">
        <w:rPr>
          <w:rFonts w:ascii="Arial" w:hAnsi="Arial" w:cs="Arial"/>
          <w:noProof/>
          <w:sz w:val="24"/>
          <w:szCs w:val="24"/>
        </w:rPr>
        <mc:AlternateContent>
          <mc:Choice Requires="wps">
            <w:drawing>
              <wp:inline distT="0" distB="0" distL="0" distR="0" wp14:anchorId="7460AC14" wp14:editId="3BB68176">
                <wp:extent cx="304800" cy="304800"/>
                <wp:effectExtent l="0" t="0" r="0" b="0"/>
                <wp:docPr id="2" name="AutoShape 4" descr="UW TASP_LogoExploration_RGB_Colo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3AF22C5" id="AutoShape 4" o:spid="_x0000_s1026" alt="UW TASP_LogoExploration_RGB_Colo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nmS9t1gIAAOU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2F40F7">
        <w:rPr>
          <w:rFonts w:ascii="Arial" w:hAnsi="Arial" w:cs="Arial"/>
          <w:noProof/>
          <w:sz w:val="24"/>
          <w:szCs w:val="24"/>
        </w:rPr>
        <w:drawing>
          <wp:inline distT="0" distB="0" distL="0" distR="0" wp14:anchorId="639171FE" wp14:editId="5DCF0D37">
            <wp:extent cx="2638425" cy="77715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38425" cy="777151"/>
                    </a:xfrm>
                    <a:prstGeom prst="rect">
                      <a:avLst/>
                    </a:prstGeom>
                  </pic:spPr>
                </pic:pic>
              </a:graphicData>
            </a:graphic>
          </wp:inline>
        </w:drawing>
      </w:r>
    </w:p>
    <w:p w14:paraId="4B4D3DCC" w14:textId="01BA1D31" w:rsidR="00A544D0" w:rsidRPr="002F40F7" w:rsidRDefault="008851F3" w:rsidP="00A544D0">
      <w:pPr>
        <w:rPr>
          <w:rFonts w:ascii="Arial" w:hAnsi="Arial" w:cs="Arial"/>
          <w:sz w:val="24"/>
          <w:szCs w:val="24"/>
        </w:rPr>
      </w:pPr>
      <w:r>
        <w:rPr>
          <w:rFonts w:ascii="Arial" w:hAnsi="Arial" w:cs="Arial"/>
          <w:sz w:val="24"/>
          <w:szCs w:val="24"/>
        </w:rPr>
        <w:t>Session Summary for 29</w:t>
      </w:r>
      <w:r w:rsidR="00B81A15">
        <w:rPr>
          <w:rFonts w:ascii="Arial" w:hAnsi="Arial" w:cs="Arial"/>
          <w:sz w:val="24"/>
          <w:szCs w:val="24"/>
        </w:rPr>
        <w:t xml:space="preserve"> May, 2018</w:t>
      </w:r>
    </w:p>
    <w:p w14:paraId="22CAE07B" w14:textId="31E9EA85" w:rsidR="00983F99" w:rsidRDefault="00AD587A" w:rsidP="004E3E3C">
      <w:pPr>
        <w:rPr>
          <w:rFonts w:ascii="Arial" w:hAnsi="Arial" w:cs="Arial"/>
          <w:sz w:val="24"/>
          <w:szCs w:val="24"/>
          <w:u w:val="single"/>
        </w:rPr>
      </w:pPr>
      <w:r>
        <w:rPr>
          <w:rFonts w:ascii="Arial" w:hAnsi="Arial" w:cs="Arial"/>
          <w:sz w:val="24"/>
          <w:szCs w:val="24"/>
          <w:u w:val="single"/>
        </w:rPr>
        <w:t xml:space="preserve">Didactic: </w:t>
      </w:r>
      <w:r w:rsidR="008851F3">
        <w:rPr>
          <w:rFonts w:ascii="Arial" w:hAnsi="Arial" w:cs="Arial"/>
          <w:sz w:val="24"/>
          <w:szCs w:val="24"/>
          <w:u w:val="single"/>
        </w:rPr>
        <w:t>Odontogenic Infections, Paul Pottinger</w:t>
      </w:r>
      <w:r w:rsidR="004E3599">
        <w:rPr>
          <w:rFonts w:ascii="Arial" w:hAnsi="Arial" w:cs="Arial"/>
          <w:sz w:val="24"/>
          <w:szCs w:val="24"/>
          <w:u w:val="single"/>
        </w:rPr>
        <w:t>, MD</w:t>
      </w:r>
      <w:r w:rsidR="004E3E3C" w:rsidRPr="002F40F7">
        <w:rPr>
          <w:rFonts w:ascii="Arial" w:hAnsi="Arial" w:cs="Arial"/>
          <w:sz w:val="24"/>
          <w:szCs w:val="24"/>
          <w:u w:val="single"/>
        </w:rPr>
        <w:t xml:space="preserve">. </w:t>
      </w:r>
    </w:p>
    <w:p w14:paraId="305795C6" w14:textId="4D21C876" w:rsidR="003F72E0" w:rsidRDefault="008851F3" w:rsidP="008851F3">
      <w:pPr>
        <w:pStyle w:val="ListParagraph"/>
        <w:numPr>
          <w:ilvl w:val="0"/>
          <w:numId w:val="16"/>
        </w:numPr>
        <w:rPr>
          <w:sz w:val="24"/>
          <w:szCs w:val="24"/>
        </w:rPr>
      </w:pPr>
      <w:r>
        <w:rPr>
          <w:sz w:val="24"/>
          <w:szCs w:val="24"/>
        </w:rPr>
        <w:t xml:space="preserve">Odontogenic: Arising from teeth or closely surrounding tissues. </w:t>
      </w:r>
    </w:p>
    <w:p w14:paraId="24143355" w14:textId="054FE62A" w:rsidR="008851F3" w:rsidRDefault="008851F3" w:rsidP="008851F3">
      <w:pPr>
        <w:pStyle w:val="ListParagraph"/>
        <w:numPr>
          <w:ilvl w:val="0"/>
          <w:numId w:val="16"/>
        </w:numPr>
        <w:rPr>
          <w:sz w:val="24"/>
          <w:szCs w:val="24"/>
        </w:rPr>
      </w:pPr>
      <w:r>
        <w:rPr>
          <w:sz w:val="24"/>
          <w:szCs w:val="24"/>
        </w:rPr>
        <w:t>Major Public Health Failure.</w:t>
      </w:r>
    </w:p>
    <w:p w14:paraId="3601FCE6" w14:textId="05865763" w:rsidR="008851F3" w:rsidRDefault="008851F3" w:rsidP="008851F3">
      <w:pPr>
        <w:pStyle w:val="ListParagraph"/>
        <w:numPr>
          <w:ilvl w:val="1"/>
          <w:numId w:val="16"/>
        </w:numPr>
        <w:rPr>
          <w:sz w:val="24"/>
          <w:szCs w:val="24"/>
        </w:rPr>
      </w:pPr>
      <w:r>
        <w:rPr>
          <w:sz w:val="24"/>
          <w:szCs w:val="24"/>
        </w:rPr>
        <w:t xml:space="preserve">25% of Americans have no teeth by age 60. </w:t>
      </w:r>
    </w:p>
    <w:p w14:paraId="653D8E3B" w14:textId="773E1F53" w:rsidR="008851F3" w:rsidRDefault="008851F3" w:rsidP="008851F3">
      <w:pPr>
        <w:pStyle w:val="ListParagraph"/>
        <w:numPr>
          <w:ilvl w:val="0"/>
          <w:numId w:val="16"/>
        </w:numPr>
        <w:rPr>
          <w:sz w:val="24"/>
          <w:szCs w:val="24"/>
        </w:rPr>
      </w:pPr>
      <w:r>
        <w:rPr>
          <w:sz w:val="24"/>
          <w:szCs w:val="24"/>
        </w:rPr>
        <w:t xml:space="preserve">Begins when bacteria adhere to the sugary pellicle layer on the surface of enamel. Grows into plaque and then dental caries. This can then spread to deeper spaces in the neck or even to the heart. </w:t>
      </w:r>
    </w:p>
    <w:p w14:paraId="2544AB90" w14:textId="6BEAA92E" w:rsidR="008851F3" w:rsidRDefault="008851F3" w:rsidP="008851F3">
      <w:pPr>
        <w:pStyle w:val="ListParagraph"/>
        <w:numPr>
          <w:ilvl w:val="0"/>
          <w:numId w:val="16"/>
        </w:numPr>
        <w:rPr>
          <w:sz w:val="24"/>
          <w:szCs w:val="24"/>
        </w:rPr>
      </w:pPr>
      <w:r>
        <w:rPr>
          <w:sz w:val="24"/>
          <w:szCs w:val="24"/>
        </w:rPr>
        <w:t xml:space="preserve">Oral anaerobes: </w:t>
      </w:r>
      <w:proofErr w:type="spellStart"/>
      <w:r w:rsidRPr="008851F3">
        <w:rPr>
          <w:i/>
          <w:sz w:val="24"/>
          <w:szCs w:val="24"/>
        </w:rPr>
        <w:t>Peptostreptococcus</w:t>
      </w:r>
      <w:proofErr w:type="spellEnd"/>
      <w:r w:rsidRPr="008851F3">
        <w:rPr>
          <w:i/>
          <w:sz w:val="24"/>
          <w:szCs w:val="24"/>
        </w:rPr>
        <w:t xml:space="preserve">, </w:t>
      </w:r>
      <w:proofErr w:type="spellStart"/>
      <w:r w:rsidRPr="008851F3">
        <w:rPr>
          <w:i/>
          <w:sz w:val="24"/>
          <w:szCs w:val="24"/>
        </w:rPr>
        <w:t>Veillonella</w:t>
      </w:r>
      <w:proofErr w:type="spellEnd"/>
      <w:r w:rsidRPr="008851F3">
        <w:rPr>
          <w:i/>
          <w:sz w:val="24"/>
          <w:szCs w:val="24"/>
        </w:rPr>
        <w:t xml:space="preserve">, </w:t>
      </w:r>
      <w:proofErr w:type="spellStart"/>
      <w:r w:rsidRPr="008851F3">
        <w:rPr>
          <w:i/>
          <w:sz w:val="24"/>
          <w:szCs w:val="24"/>
        </w:rPr>
        <w:t>Actinomyces</w:t>
      </w:r>
      <w:proofErr w:type="spellEnd"/>
      <w:r w:rsidRPr="008851F3">
        <w:rPr>
          <w:i/>
          <w:sz w:val="24"/>
          <w:szCs w:val="24"/>
        </w:rPr>
        <w:t xml:space="preserve">, </w:t>
      </w:r>
      <w:proofErr w:type="spellStart"/>
      <w:r w:rsidRPr="008851F3">
        <w:rPr>
          <w:i/>
          <w:sz w:val="24"/>
          <w:szCs w:val="24"/>
        </w:rPr>
        <w:t>Lactobacilllus</w:t>
      </w:r>
      <w:proofErr w:type="spellEnd"/>
      <w:r w:rsidRPr="008851F3">
        <w:rPr>
          <w:i/>
          <w:sz w:val="24"/>
          <w:szCs w:val="24"/>
        </w:rPr>
        <w:t xml:space="preserve">, </w:t>
      </w:r>
      <w:proofErr w:type="spellStart"/>
      <w:r w:rsidRPr="008851F3">
        <w:rPr>
          <w:i/>
          <w:sz w:val="24"/>
          <w:szCs w:val="24"/>
        </w:rPr>
        <w:t>Prevotella</w:t>
      </w:r>
      <w:proofErr w:type="spellEnd"/>
      <w:r w:rsidRPr="008851F3">
        <w:rPr>
          <w:i/>
          <w:sz w:val="24"/>
          <w:szCs w:val="24"/>
        </w:rPr>
        <w:t xml:space="preserve">, Fusobacterium, </w:t>
      </w:r>
      <w:proofErr w:type="spellStart"/>
      <w:r w:rsidRPr="008851F3">
        <w:rPr>
          <w:i/>
          <w:sz w:val="24"/>
          <w:szCs w:val="24"/>
        </w:rPr>
        <w:t>Bacteroides</w:t>
      </w:r>
      <w:proofErr w:type="spellEnd"/>
      <w:r w:rsidRPr="008851F3">
        <w:rPr>
          <w:i/>
          <w:sz w:val="24"/>
          <w:szCs w:val="24"/>
        </w:rPr>
        <w:t>.</w:t>
      </w:r>
      <w:r>
        <w:rPr>
          <w:sz w:val="24"/>
          <w:szCs w:val="24"/>
        </w:rPr>
        <w:t xml:space="preserve"> </w:t>
      </w:r>
    </w:p>
    <w:p w14:paraId="24692AD2" w14:textId="1A8F6A59" w:rsidR="008851F3" w:rsidRDefault="008851F3" w:rsidP="008851F3">
      <w:pPr>
        <w:pStyle w:val="ListParagraph"/>
        <w:numPr>
          <w:ilvl w:val="0"/>
          <w:numId w:val="16"/>
        </w:numPr>
        <w:rPr>
          <w:sz w:val="24"/>
          <w:szCs w:val="24"/>
        </w:rPr>
      </w:pPr>
      <w:r>
        <w:rPr>
          <w:sz w:val="24"/>
          <w:szCs w:val="24"/>
        </w:rPr>
        <w:t xml:space="preserve">Oral Aerobes: </w:t>
      </w:r>
      <w:r w:rsidRPr="008851F3">
        <w:rPr>
          <w:i/>
          <w:sz w:val="24"/>
          <w:szCs w:val="24"/>
        </w:rPr>
        <w:t>Streptococcus, Moraxella, Lactobacillus, Corynebacterium.</w:t>
      </w:r>
      <w:r>
        <w:rPr>
          <w:sz w:val="24"/>
          <w:szCs w:val="24"/>
        </w:rPr>
        <w:t xml:space="preserve"> </w:t>
      </w:r>
    </w:p>
    <w:p w14:paraId="0AEF9840" w14:textId="3D658F19" w:rsidR="008851F3" w:rsidRDefault="008851F3" w:rsidP="008851F3">
      <w:pPr>
        <w:pStyle w:val="ListParagraph"/>
        <w:numPr>
          <w:ilvl w:val="0"/>
          <w:numId w:val="16"/>
        </w:numPr>
        <w:rPr>
          <w:sz w:val="24"/>
          <w:szCs w:val="24"/>
        </w:rPr>
      </w:pPr>
      <w:r>
        <w:rPr>
          <w:sz w:val="24"/>
          <w:szCs w:val="24"/>
        </w:rPr>
        <w:t xml:space="preserve">As dental disease develops the oral flora transition from microaerophilic organisms to anaerobic organisms. </w:t>
      </w:r>
    </w:p>
    <w:p w14:paraId="234C1D5E" w14:textId="77777777" w:rsidR="00C53B73" w:rsidRDefault="00C53B73" w:rsidP="00C53B73">
      <w:pPr>
        <w:jc w:val="center"/>
        <w:rPr>
          <w:sz w:val="24"/>
          <w:szCs w:val="24"/>
        </w:rPr>
      </w:pPr>
      <w:r>
        <w:rPr>
          <w:noProof/>
        </w:rPr>
        <w:drawing>
          <wp:inline distT="0" distB="0" distL="0" distR="0" wp14:anchorId="43E75323" wp14:editId="1C6D2C60">
            <wp:extent cx="1813134" cy="2495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13134" cy="2495550"/>
                    </a:xfrm>
                    <a:prstGeom prst="rect">
                      <a:avLst/>
                    </a:prstGeom>
                  </pic:spPr>
                </pic:pic>
              </a:graphicData>
            </a:graphic>
          </wp:inline>
        </w:drawing>
      </w:r>
    </w:p>
    <w:p w14:paraId="7BB03576" w14:textId="4C4E207B" w:rsidR="00C53B73" w:rsidRDefault="00C53B73" w:rsidP="00C53B73">
      <w:pPr>
        <w:pStyle w:val="ListParagraph"/>
        <w:numPr>
          <w:ilvl w:val="0"/>
          <w:numId w:val="17"/>
        </w:numPr>
        <w:rPr>
          <w:sz w:val="24"/>
          <w:szCs w:val="24"/>
        </w:rPr>
      </w:pPr>
      <w:r>
        <w:rPr>
          <w:sz w:val="24"/>
          <w:szCs w:val="24"/>
        </w:rPr>
        <w:t>Periodontal disease: Gum loss threatens tooth viability.</w:t>
      </w:r>
    </w:p>
    <w:p w14:paraId="6DF6C0FE" w14:textId="77777777" w:rsidR="003D7D93" w:rsidRDefault="00C53B73" w:rsidP="00C53B73">
      <w:pPr>
        <w:pStyle w:val="ListParagraph"/>
        <w:numPr>
          <w:ilvl w:val="1"/>
          <w:numId w:val="17"/>
        </w:numPr>
        <w:rPr>
          <w:sz w:val="24"/>
          <w:szCs w:val="24"/>
        </w:rPr>
      </w:pPr>
      <w:proofErr w:type="spellStart"/>
      <w:proofErr w:type="gramStart"/>
      <w:r>
        <w:rPr>
          <w:sz w:val="24"/>
          <w:szCs w:val="24"/>
        </w:rPr>
        <w:t>Tx</w:t>
      </w:r>
      <w:proofErr w:type="spellEnd"/>
      <w:proofErr w:type="gramEnd"/>
      <w:r>
        <w:rPr>
          <w:sz w:val="24"/>
          <w:szCs w:val="24"/>
        </w:rPr>
        <w:t xml:space="preserve"> with </w:t>
      </w:r>
      <w:proofErr w:type="spellStart"/>
      <w:r>
        <w:rPr>
          <w:sz w:val="24"/>
          <w:szCs w:val="24"/>
        </w:rPr>
        <w:t>amox</w:t>
      </w:r>
      <w:proofErr w:type="spellEnd"/>
      <w:r>
        <w:rPr>
          <w:sz w:val="24"/>
          <w:szCs w:val="24"/>
        </w:rPr>
        <w:t>/</w:t>
      </w:r>
      <w:proofErr w:type="spellStart"/>
      <w:r>
        <w:rPr>
          <w:sz w:val="24"/>
          <w:szCs w:val="24"/>
        </w:rPr>
        <w:t>clav</w:t>
      </w:r>
      <w:proofErr w:type="spellEnd"/>
      <w:r w:rsidR="003D7D93">
        <w:rPr>
          <w:sz w:val="24"/>
          <w:szCs w:val="24"/>
        </w:rPr>
        <w:t xml:space="preserve"> 500/125 mg PO BID</w:t>
      </w:r>
      <w:r>
        <w:rPr>
          <w:sz w:val="24"/>
          <w:szCs w:val="24"/>
        </w:rPr>
        <w:t xml:space="preserve">, or </w:t>
      </w:r>
      <w:proofErr w:type="spellStart"/>
      <w:r>
        <w:rPr>
          <w:sz w:val="24"/>
          <w:szCs w:val="24"/>
        </w:rPr>
        <w:t>clinda</w:t>
      </w:r>
      <w:proofErr w:type="spellEnd"/>
      <w:r w:rsidR="003D7D93">
        <w:rPr>
          <w:sz w:val="24"/>
          <w:szCs w:val="24"/>
        </w:rPr>
        <w:t xml:space="preserve"> 300mg </w:t>
      </w:r>
      <w:proofErr w:type="spellStart"/>
      <w:r w:rsidR="003D7D93">
        <w:rPr>
          <w:sz w:val="24"/>
          <w:szCs w:val="24"/>
        </w:rPr>
        <w:t>po</w:t>
      </w:r>
      <w:proofErr w:type="spellEnd"/>
      <w:r w:rsidR="003D7D93">
        <w:rPr>
          <w:sz w:val="24"/>
          <w:szCs w:val="24"/>
        </w:rPr>
        <w:t xml:space="preserve"> TID. </w:t>
      </w:r>
    </w:p>
    <w:p w14:paraId="10F2C3CC" w14:textId="4FC2D585" w:rsidR="00C53B73" w:rsidRDefault="003D7D93" w:rsidP="00C53B73">
      <w:pPr>
        <w:pStyle w:val="ListParagraph"/>
        <w:numPr>
          <w:ilvl w:val="1"/>
          <w:numId w:val="17"/>
        </w:numPr>
        <w:rPr>
          <w:sz w:val="24"/>
          <w:szCs w:val="24"/>
        </w:rPr>
      </w:pPr>
      <w:r>
        <w:rPr>
          <w:sz w:val="24"/>
          <w:szCs w:val="24"/>
        </w:rPr>
        <w:t xml:space="preserve">Short course (5 days) likely sufficient. </w:t>
      </w:r>
      <w:r w:rsidR="00C53B73">
        <w:rPr>
          <w:sz w:val="24"/>
          <w:szCs w:val="24"/>
        </w:rPr>
        <w:t xml:space="preserve"> </w:t>
      </w:r>
    </w:p>
    <w:p w14:paraId="6C40F170" w14:textId="20089E38" w:rsidR="00C53B73" w:rsidRDefault="00C53B73" w:rsidP="00C53B73">
      <w:pPr>
        <w:pStyle w:val="ListParagraph"/>
        <w:numPr>
          <w:ilvl w:val="0"/>
          <w:numId w:val="17"/>
        </w:numPr>
        <w:rPr>
          <w:sz w:val="24"/>
          <w:szCs w:val="24"/>
        </w:rPr>
      </w:pPr>
      <w:r>
        <w:rPr>
          <w:sz w:val="24"/>
          <w:szCs w:val="24"/>
        </w:rPr>
        <w:t xml:space="preserve">Mandibular </w:t>
      </w:r>
      <w:proofErr w:type="spellStart"/>
      <w:r>
        <w:rPr>
          <w:sz w:val="24"/>
          <w:szCs w:val="24"/>
        </w:rPr>
        <w:t>Osteo</w:t>
      </w:r>
      <w:proofErr w:type="spellEnd"/>
      <w:r>
        <w:rPr>
          <w:sz w:val="24"/>
          <w:szCs w:val="24"/>
        </w:rPr>
        <w:t>:</w:t>
      </w:r>
    </w:p>
    <w:p w14:paraId="1D2B4527" w14:textId="7C1F0B20" w:rsidR="00C53B73" w:rsidRDefault="00C53B73" w:rsidP="00C53B73">
      <w:pPr>
        <w:pStyle w:val="ListParagraph"/>
        <w:numPr>
          <w:ilvl w:val="1"/>
          <w:numId w:val="17"/>
        </w:numPr>
        <w:rPr>
          <w:sz w:val="24"/>
          <w:szCs w:val="24"/>
        </w:rPr>
      </w:pPr>
      <w:r>
        <w:rPr>
          <w:sz w:val="24"/>
          <w:szCs w:val="24"/>
        </w:rPr>
        <w:t>Debride it</w:t>
      </w:r>
    </w:p>
    <w:p w14:paraId="4DFAC715" w14:textId="2C05D91B" w:rsidR="00C53B73" w:rsidRDefault="00C53B73" w:rsidP="00C53B73">
      <w:pPr>
        <w:pStyle w:val="ListParagraph"/>
        <w:numPr>
          <w:ilvl w:val="1"/>
          <w:numId w:val="17"/>
        </w:numPr>
        <w:rPr>
          <w:sz w:val="24"/>
          <w:szCs w:val="24"/>
        </w:rPr>
      </w:pPr>
      <w:r>
        <w:rPr>
          <w:sz w:val="24"/>
          <w:szCs w:val="24"/>
        </w:rPr>
        <w:t>Treat based on micro</w:t>
      </w:r>
    </w:p>
    <w:p w14:paraId="7766ADE8" w14:textId="47743A97" w:rsidR="00C53B73" w:rsidRDefault="00C53B73" w:rsidP="00C53B73">
      <w:pPr>
        <w:pStyle w:val="ListParagraph"/>
        <w:numPr>
          <w:ilvl w:val="0"/>
          <w:numId w:val="17"/>
        </w:numPr>
        <w:rPr>
          <w:sz w:val="24"/>
          <w:szCs w:val="24"/>
        </w:rPr>
      </w:pPr>
      <w:r>
        <w:rPr>
          <w:sz w:val="24"/>
          <w:szCs w:val="24"/>
        </w:rPr>
        <w:lastRenderedPageBreak/>
        <w:t xml:space="preserve">Ludwig’s Angina: Severe cellulitis of the deep space of the floor of the mouth. </w:t>
      </w:r>
    </w:p>
    <w:p w14:paraId="50F88833" w14:textId="0726DEEB" w:rsidR="00C53B73" w:rsidRDefault="00C53B73" w:rsidP="00C53B73">
      <w:pPr>
        <w:pStyle w:val="ListParagraph"/>
        <w:numPr>
          <w:ilvl w:val="1"/>
          <w:numId w:val="17"/>
        </w:numPr>
        <w:rPr>
          <w:sz w:val="24"/>
          <w:szCs w:val="24"/>
        </w:rPr>
      </w:pPr>
      <w:proofErr w:type="spellStart"/>
      <w:proofErr w:type="gramStart"/>
      <w:r>
        <w:rPr>
          <w:sz w:val="24"/>
          <w:szCs w:val="24"/>
        </w:rPr>
        <w:t>Tx</w:t>
      </w:r>
      <w:proofErr w:type="spellEnd"/>
      <w:proofErr w:type="gramEnd"/>
      <w:r>
        <w:rPr>
          <w:sz w:val="24"/>
          <w:szCs w:val="24"/>
        </w:rPr>
        <w:t xml:space="preserve"> with </w:t>
      </w:r>
      <w:proofErr w:type="spellStart"/>
      <w:r>
        <w:rPr>
          <w:sz w:val="24"/>
          <w:szCs w:val="24"/>
        </w:rPr>
        <w:t>amox</w:t>
      </w:r>
      <w:proofErr w:type="spellEnd"/>
      <w:r>
        <w:rPr>
          <w:sz w:val="24"/>
          <w:szCs w:val="24"/>
        </w:rPr>
        <w:t>/</w:t>
      </w:r>
      <w:proofErr w:type="spellStart"/>
      <w:r>
        <w:rPr>
          <w:sz w:val="24"/>
          <w:szCs w:val="24"/>
        </w:rPr>
        <w:t>clav</w:t>
      </w:r>
      <w:proofErr w:type="spellEnd"/>
      <w:r w:rsidR="003D7D93">
        <w:rPr>
          <w:sz w:val="24"/>
          <w:szCs w:val="24"/>
        </w:rPr>
        <w:t xml:space="preserve"> 500/125 or 875/125 mg PO BID</w:t>
      </w:r>
      <w:r>
        <w:rPr>
          <w:sz w:val="24"/>
          <w:szCs w:val="24"/>
        </w:rPr>
        <w:t xml:space="preserve">, or </w:t>
      </w:r>
      <w:proofErr w:type="spellStart"/>
      <w:r>
        <w:rPr>
          <w:sz w:val="24"/>
          <w:szCs w:val="24"/>
        </w:rPr>
        <w:t>clinda</w:t>
      </w:r>
      <w:proofErr w:type="spellEnd"/>
      <w:r w:rsidR="003D7D93">
        <w:rPr>
          <w:sz w:val="24"/>
          <w:szCs w:val="24"/>
        </w:rPr>
        <w:t xml:space="preserve"> 300mg PO TID</w:t>
      </w:r>
      <w:r>
        <w:rPr>
          <w:sz w:val="24"/>
          <w:szCs w:val="24"/>
        </w:rPr>
        <w:t xml:space="preserve">. </w:t>
      </w:r>
    </w:p>
    <w:p w14:paraId="665B7E59" w14:textId="77777777" w:rsidR="00010AC2" w:rsidRDefault="00C53B73" w:rsidP="00C53B73">
      <w:pPr>
        <w:pStyle w:val="ListParagraph"/>
        <w:numPr>
          <w:ilvl w:val="0"/>
          <w:numId w:val="17"/>
        </w:numPr>
        <w:rPr>
          <w:sz w:val="24"/>
          <w:szCs w:val="24"/>
        </w:rPr>
      </w:pPr>
      <w:r>
        <w:rPr>
          <w:sz w:val="24"/>
          <w:szCs w:val="24"/>
        </w:rPr>
        <w:t xml:space="preserve">Odontogenic infections can spread to remote body sites; i.e. </w:t>
      </w:r>
      <w:proofErr w:type="spellStart"/>
      <w:r>
        <w:rPr>
          <w:sz w:val="24"/>
          <w:szCs w:val="24"/>
        </w:rPr>
        <w:t>osteomytlitis</w:t>
      </w:r>
      <w:proofErr w:type="spellEnd"/>
      <w:r>
        <w:rPr>
          <w:sz w:val="24"/>
          <w:szCs w:val="24"/>
        </w:rPr>
        <w:t>, endocarditis.</w:t>
      </w:r>
    </w:p>
    <w:p w14:paraId="03279D32" w14:textId="45C0430F" w:rsidR="00C53B73" w:rsidRDefault="00010AC2" w:rsidP="00C53B73">
      <w:pPr>
        <w:pStyle w:val="ListParagraph"/>
        <w:numPr>
          <w:ilvl w:val="0"/>
          <w:numId w:val="17"/>
        </w:numPr>
        <w:rPr>
          <w:sz w:val="24"/>
          <w:szCs w:val="24"/>
        </w:rPr>
      </w:pPr>
      <w:r>
        <w:rPr>
          <w:sz w:val="24"/>
          <w:szCs w:val="24"/>
        </w:rPr>
        <w:t xml:space="preserve">The most essential part of treating odontogenic infections is evaluation by dentist and debridement of the source. </w:t>
      </w:r>
      <w:r w:rsidR="00C53B73">
        <w:rPr>
          <w:sz w:val="24"/>
          <w:szCs w:val="24"/>
        </w:rPr>
        <w:t xml:space="preserve"> </w:t>
      </w:r>
    </w:p>
    <w:p w14:paraId="35CD5669" w14:textId="2178D4A9" w:rsidR="00C53B73" w:rsidRDefault="00C53B73" w:rsidP="00C53B73">
      <w:pPr>
        <w:pStyle w:val="ListParagraph"/>
        <w:numPr>
          <w:ilvl w:val="0"/>
          <w:numId w:val="17"/>
        </w:numPr>
        <w:rPr>
          <w:sz w:val="24"/>
          <w:szCs w:val="24"/>
        </w:rPr>
      </w:pPr>
      <w:r>
        <w:rPr>
          <w:sz w:val="24"/>
          <w:szCs w:val="24"/>
        </w:rPr>
        <w:t xml:space="preserve">When possible treat odontogenic infections with </w:t>
      </w:r>
      <w:proofErr w:type="spellStart"/>
      <w:r>
        <w:rPr>
          <w:sz w:val="24"/>
          <w:szCs w:val="24"/>
        </w:rPr>
        <w:t>amox</w:t>
      </w:r>
      <w:proofErr w:type="spellEnd"/>
      <w:r>
        <w:rPr>
          <w:sz w:val="24"/>
          <w:szCs w:val="24"/>
        </w:rPr>
        <w:t>/</w:t>
      </w:r>
      <w:proofErr w:type="spellStart"/>
      <w:r>
        <w:rPr>
          <w:sz w:val="24"/>
          <w:szCs w:val="24"/>
        </w:rPr>
        <w:t>clav</w:t>
      </w:r>
      <w:bookmarkStart w:id="0" w:name="_GoBack"/>
      <w:bookmarkEnd w:id="0"/>
      <w:proofErr w:type="spellEnd"/>
      <w:r>
        <w:rPr>
          <w:sz w:val="24"/>
          <w:szCs w:val="24"/>
        </w:rPr>
        <w:t xml:space="preserve">. </w:t>
      </w:r>
    </w:p>
    <w:p w14:paraId="5265DF35" w14:textId="2930CD0C" w:rsidR="00C53B73" w:rsidRPr="00C53B73" w:rsidRDefault="00C53B73" w:rsidP="00C53B73">
      <w:pPr>
        <w:pStyle w:val="ListParagraph"/>
        <w:numPr>
          <w:ilvl w:val="0"/>
          <w:numId w:val="17"/>
        </w:numPr>
        <w:rPr>
          <w:sz w:val="24"/>
          <w:szCs w:val="24"/>
        </w:rPr>
      </w:pPr>
      <w:r>
        <w:rPr>
          <w:sz w:val="24"/>
          <w:szCs w:val="24"/>
        </w:rPr>
        <w:t xml:space="preserve">Clindamycin misses </w:t>
      </w:r>
      <w:proofErr w:type="spellStart"/>
      <w:r w:rsidRPr="00C53B73">
        <w:rPr>
          <w:i/>
          <w:sz w:val="24"/>
          <w:szCs w:val="24"/>
        </w:rPr>
        <w:t>Eikenella</w:t>
      </w:r>
      <w:proofErr w:type="spellEnd"/>
      <w:r>
        <w:rPr>
          <w:sz w:val="24"/>
          <w:szCs w:val="24"/>
        </w:rPr>
        <w:t xml:space="preserve"> so is second line. </w:t>
      </w:r>
    </w:p>
    <w:p w14:paraId="6FCDCA1C" w14:textId="3A0F655B" w:rsidR="008851F3" w:rsidRDefault="008851F3" w:rsidP="00C53B73">
      <w:pPr>
        <w:rPr>
          <w:sz w:val="24"/>
          <w:szCs w:val="24"/>
        </w:rPr>
      </w:pPr>
      <w:r>
        <w:rPr>
          <w:sz w:val="24"/>
          <w:szCs w:val="24"/>
        </w:rPr>
        <w:t>References:</w:t>
      </w:r>
    </w:p>
    <w:p w14:paraId="3B89A701" w14:textId="77777777" w:rsidR="00C53B73" w:rsidRDefault="00C53B73" w:rsidP="00C53B73">
      <w:proofErr w:type="spellStart"/>
      <w:proofErr w:type="gramStart"/>
      <w:r>
        <w:t>Albandar</w:t>
      </w:r>
      <w:proofErr w:type="spellEnd"/>
      <w:r>
        <w:t xml:space="preserve"> JM et al. Destructive periodontal disease in adults 30 years of age and older in the United States, 1988-1994.</w:t>
      </w:r>
      <w:proofErr w:type="gramEnd"/>
      <w:r>
        <w:t xml:space="preserve"> J </w:t>
      </w:r>
      <w:proofErr w:type="spellStart"/>
      <w:r>
        <w:t>Periodontol</w:t>
      </w:r>
      <w:proofErr w:type="spellEnd"/>
      <w:r>
        <w:t xml:space="preserve"> 1999; 70:13. </w:t>
      </w:r>
    </w:p>
    <w:p w14:paraId="5172667F" w14:textId="14BF9F3C" w:rsidR="00C53B73" w:rsidRDefault="00C53B73" w:rsidP="00C53B73">
      <w:r>
        <w:t xml:space="preserve"> </w:t>
      </w:r>
      <w:proofErr w:type="spellStart"/>
      <w:r>
        <w:t>Beltrán</w:t>
      </w:r>
      <w:proofErr w:type="spellEnd"/>
      <w:r>
        <w:t xml:space="preserve">-Aguilar ED et al. Surveillance for dental caries, dental sealants, tooth retention, </w:t>
      </w:r>
      <w:proofErr w:type="spellStart"/>
      <w:r>
        <w:t>edentulism</w:t>
      </w:r>
      <w:proofErr w:type="spellEnd"/>
      <w:r>
        <w:t xml:space="preserve">, and enamel fluorosis--United States, 1988-1994 and 1999-2002. MMWR </w:t>
      </w:r>
      <w:proofErr w:type="spellStart"/>
      <w:r>
        <w:t>Surveill</w:t>
      </w:r>
      <w:proofErr w:type="spellEnd"/>
      <w:r>
        <w:t xml:space="preserve"> </w:t>
      </w:r>
      <w:proofErr w:type="spellStart"/>
      <w:r>
        <w:t>Summ</w:t>
      </w:r>
      <w:proofErr w:type="spellEnd"/>
      <w:r>
        <w:t xml:space="preserve"> 2005; 54:1. </w:t>
      </w:r>
    </w:p>
    <w:p w14:paraId="370D304C" w14:textId="3CE41059" w:rsidR="00C53B73" w:rsidRDefault="00C53B73" w:rsidP="00C53B73">
      <w:r>
        <w:t xml:space="preserve">Chow AW et al. Ann Intern Med 1978; 88:392. </w:t>
      </w:r>
    </w:p>
    <w:p w14:paraId="50F8874E" w14:textId="5DF4DEA1" w:rsidR="008851F3" w:rsidRPr="008851F3" w:rsidRDefault="00C53B73" w:rsidP="00C53B73">
      <w:pPr>
        <w:rPr>
          <w:sz w:val="24"/>
          <w:szCs w:val="24"/>
        </w:rPr>
      </w:pPr>
      <w:r>
        <w:t xml:space="preserve">Chow AW. </w:t>
      </w:r>
      <w:proofErr w:type="gramStart"/>
      <w:r>
        <w:t>Odontogenic infections.</w:t>
      </w:r>
      <w:proofErr w:type="gramEnd"/>
      <w:r>
        <w:t xml:space="preserve"> In: Infections of the Head and Neck, Schlossberg, D (Ed), Springer-</w:t>
      </w:r>
      <w:proofErr w:type="spellStart"/>
      <w:r>
        <w:t>Verlag</w:t>
      </w:r>
      <w:proofErr w:type="spellEnd"/>
      <w:r>
        <w:t>, New York 1987, p.149.</w:t>
      </w:r>
    </w:p>
    <w:sectPr w:rsidR="008851F3" w:rsidRPr="00885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F8E"/>
    <w:multiLevelType w:val="hybridMultilevel"/>
    <w:tmpl w:val="821C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65BB7"/>
    <w:multiLevelType w:val="hybridMultilevel"/>
    <w:tmpl w:val="DE9CC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E6C1D"/>
    <w:multiLevelType w:val="hybridMultilevel"/>
    <w:tmpl w:val="BC64C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72588"/>
    <w:multiLevelType w:val="hybridMultilevel"/>
    <w:tmpl w:val="0D8AE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9A6AD6"/>
    <w:multiLevelType w:val="hybridMultilevel"/>
    <w:tmpl w:val="51FA66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F436C"/>
    <w:multiLevelType w:val="hybridMultilevel"/>
    <w:tmpl w:val="9C52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4A05A0"/>
    <w:multiLevelType w:val="hybridMultilevel"/>
    <w:tmpl w:val="E216E508"/>
    <w:lvl w:ilvl="0" w:tplc="207EF6D6">
      <w:start w:val="1"/>
      <w:numFmt w:val="bullet"/>
      <w:lvlText w:val="•"/>
      <w:lvlJc w:val="left"/>
      <w:pPr>
        <w:tabs>
          <w:tab w:val="num" w:pos="720"/>
        </w:tabs>
        <w:ind w:left="720" w:hanging="360"/>
      </w:pPr>
      <w:rPr>
        <w:rFonts w:ascii="Times New Roman" w:hAnsi="Times New Roman" w:hint="default"/>
      </w:rPr>
    </w:lvl>
    <w:lvl w:ilvl="1" w:tplc="38A0D610" w:tentative="1">
      <w:start w:val="1"/>
      <w:numFmt w:val="bullet"/>
      <w:lvlText w:val="•"/>
      <w:lvlJc w:val="left"/>
      <w:pPr>
        <w:tabs>
          <w:tab w:val="num" w:pos="1440"/>
        </w:tabs>
        <w:ind w:left="1440" w:hanging="360"/>
      </w:pPr>
      <w:rPr>
        <w:rFonts w:ascii="Times New Roman" w:hAnsi="Times New Roman" w:hint="default"/>
      </w:rPr>
    </w:lvl>
    <w:lvl w:ilvl="2" w:tplc="A5AADF90" w:tentative="1">
      <w:start w:val="1"/>
      <w:numFmt w:val="bullet"/>
      <w:lvlText w:val="•"/>
      <w:lvlJc w:val="left"/>
      <w:pPr>
        <w:tabs>
          <w:tab w:val="num" w:pos="2160"/>
        </w:tabs>
        <w:ind w:left="2160" w:hanging="360"/>
      </w:pPr>
      <w:rPr>
        <w:rFonts w:ascii="Times New Roman" w:hAnsi="Times New Roman" w:hint="default"/>
      </w:rPr>
    </w:lvl>
    <w:lvl w:ilvl="3" w:tplc="466AB0FC" w:tentative="1">
      <w:start w:val="1"/>
      <w:numFmt w:val="bullet"/>
      <w:lvlText w:val="•"/>
      <w:lvlJc w:val="left"/>
      <w:pPr>
        <w:tabs>
          <w:tab w:val="num" w:pos="2880"/>
        </w:tabs>
        <w:ind w:left="2880" w:hanging="360"/>
      </w:pPr>
      <w:rPr>
        <w:rFonts w:ascii="Times New Roman" w:hAnsi="Times New Roman" w:hint="default"/>
      </w:rPr>
    </w:lvl>
    <w:lvl w:ilvl="4" w:tplc="62108AB8" w:tentative="1">
      <w:start w:val="1"/>
      <w:numFmt w:val="bullet"/>
      <w:lvlText w:val="•"/>
      <w:lvlJc w:val="left"/>
      <w:pPr>
        <w:tabs>
          <w:tab w:val="num" w:pos="3600"/>
        </w:tabs>
        <w:ind w:left="3600" w:hanging="360"/>
      </w:pPr>
      <w:rPr>
        <w:rFonts w:ascii="Times New Roman" w:hAnsi="Times New Roman" w:hint="default"/>
      </w:rPr>
    </w:lvl>
    <w:lvl w:ilvl="5" w:tplc="163C685A" w:tentative="1">
      <w:start w:val="1"/>
      <w:numFmt w:val="bullet"/>
      <w:lvlText w:val="•"/>
      <w:lvlJc w:val="left"/>
      <w:pPr>
        <w:tabs>
          <w:tab w:val="num" w:pos="4320"/>
        </w:tabs>
        <w:ind w:left="4320" w:hanging="360"/>
      </w:pPr>
      <w:rPr>
        <w:rFonts w:ascii="Times New Roman" w:hAnsi="Times New Roman" w:hint="default"/>
      </w:rPr>
    </w:lvl>
    <w:lvl w:ilvl="6" w:tplc="C942781A" w:tentative="1">
      <w:start w:val="1"/>
      <w:numFmt w:val="bullet"/>
      <w:lvlText w:val="•"/>
      <w:lvlJc w:val="left"/>
      <w:pPr>
        <w:tabs>
          <w:tab w:val="num" w:pos="5040"/>
        </w:tabs>
        <w:ind w:left="5040" w:hanging="360"/>
      </w:pPr>
      <w:rPr>
        <w:rFonts w:ascii="Times New Roman" w:hAnsi="Times New Roman" w:hint="default"/>
      </w:rPr>
    </w:lvl>
    <w:lvl w:ilvl="7" w:tplc="DED4FB10" w:tentative="1">
      <w:start w:val="1"/>
      <w:numFmt w:val="bullet"/>
      <w:lvlText w:val="•"/>
      <w:lvlJc w:val="left"/>
      <w:pPr>
        <w:tabs>
          <w:tab w:val="num" w:pos="5760"/>
        </w:tabs>
        <w:ind w:left="5760" w:hanging="360"/>
      </w:pPr>
      <w:rPr>
        <w:rFonts w:ascii="Times New Roman" w:hAnsi="Times New Roman" w:hint="default"/>
      </w:rPr>
    </w:lvl>
    <w:lvl w:ilvl="8" w:tplc="3A2E6482" w:tentative="1">
      <w:start w:val="1"/>
      <w:numFmt w:val="bullet"/>
      <w:lvlText w:val="•"/>
      <w:lvlJc w:val="left"/>
      <w:pPr>
        <w:tabs>
          <w:tab w:val="num" w:pos="6480"/>
        </w:tabs>
        <w:ind w:left="6480" w:hanging="360"/>
      </w:pPr>
      <w:rPr>
        <w:rFonts w:ascii="Times New Roman" w:hAnsi="Times New Roman" w:hint="default"/>
      </w:rPr>
    </w:lvl>
  </w:abstractNum>
  <w:abstractNum w:abstractNumId="7">
    <w:nsid w:val="37E33E82"/>
    <w:multiLevelType w:val="hybridMultilevel"/>
    <w:tmpl w:val="F0DA8F6A"/>
    <w:lvl w:ilvl="0" w:tplc="FAD2DB6A">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3828B5"/>
    <w:multiLevelType w:val="hybridMultilevel"/>
    <w:tmpl w:val="DCB833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787F83"/>
    <w:multiLevelType w:val="hybridMultilevel"/>
    <w:tmpl w:val="49884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6E7953"/>
    <w:multiLevelType w:val="hybridMultilevel"/>
    <w:tmpl w:val="80E8E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B0B6D47"/>
    <w:multiLevelType w:val="hybridMultilevel"/>
    <w:tmpl w:val="3CAC0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920375"/>
    <w:multiLevelType w:val="hybridMultilevel"/>
    <w:tmpl w:val="0A9E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E10E20"/>
    <w:multiLevelType w:val="hybridMultilevel"/>
    <w:tmpl w:val="38DA921C"/>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2C773D"/>
    <w:multiLevelType w:val="hybridMultilevel"/>
    <w:tmpl w:val="549EC9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9D3855"/>
    <w:multiLevelType w:val="hybridMultilevel"/>
    <w:tmpl w:val="269C80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8E9641A"/>
    <w:multiLevelType w:val="hybridMultilevel"/>
    <w:tmpl w:val="E5547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4"/>
  </w:num>
  <w:num w:numId="4">
    <w:abstractNumId w:val="10"/>
  </w:num>
  <w:num w:numId="5">
    <w:abstractNumId w:val="0"/>
  </w:num>
  <w:num w:numId="6">
    <w:abstractNumId w:val="2"/>
  </w:num>
  <w:num w:numId="7">
    <w:abstractNumId w:val="13"/>
  </w:num>
  <w:num w:numId="8">
    <w:abstractNumId w:val="1"/>
  </w:num>
  <w:num w:numId="9">
    <w:abstractNumId w:val="6"/>
  </w:num>
  <w:num w:numId="10">
    <w:abstractNumId w:val="12"/>
  </w:num>
  <w:num w:numId="11">
    <w:abstractNumId w:val="11"/>
  </w:num>
  <w:num w:numId="12">
    <w:abstractNumId w:val="4"/>
  </w:num>
  <w:num w:numId="13">
    <w:abstractNumId w:val="8"/>
  </w:num>
  <w:num w:numId="14">
    <w:abstractNumId w:val="15"/>
  </w:num>
  <w:num w:numId="15">
    <w:abstractNumId w:val="3"/>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7A207DC-9467-46F0-B0C9-F1E6C50A0C75}"/>
    <w:docVar w:name="dgnword-eventsink" w:val="106416720"/>
  </w:docVars>
  <w:rsids>
    <w:rsidRoot w:val="0084391C"/>
    <w:rsid w:val="00010AC2"/>
    <w:rsid w:val="00092FF7"/>
    <w:rsid w:val="000D6083"/>
    <w:rsid w:val="001637AE"/>
    <w:rsid w:val="00271373"/>
    <w:rsid w:val="002D4F3B"/>
    <w:rsid w:val="002F40F7"/>
    <w:rsid w:val="00302DD1"/>
    <w:rsid w:val="00345429"/>
    <w:rsid w:val="003B46EE"/>
    <w:rsid w:val="003D7D93"/>
    <w:rsid w:val="003F72E0"/>
    <w:rsid w:val="004542C8"/>
    <w:rsid w:val="004D4A9A"/>
    <w:rsid w:val="004E3599"/>
    <w:rsid w:val="004E3E3C"/>
    <w:rsid w:val="0054231C"/>
    <w:rsid w:val="00545B9C"/>
    <w:rsid w:val="0055164A"/>
    <w:rsid w:val="00567576"/>
    <w:rsid w:val="005D4FDE"/>
    <w:rsid w:val="00641483"/>
    <w:rsid w:val="0072149D"/>
    <w:rsid w:val="00765DE2"/>
    <w:rsid w:val="00792EBC"/>
    <w:rsid w:val="007B3ED0"/>
    <w:rsid w:val="007D181A"/>
    <w:rsid w:val="0080209A"/>
    <w:rsid w:val="0084391C"/>
    <w:rsid w:val="008851F3"/>
    <w:rsid w:val="008B0E43"/>
    <w:rsid w:val="008C0906"/>
    <w:rsid w:val="00943280"/>
    <w:rsid w:val="0095053C"/>
    <w:rsid w:val="00957CFC"/>
    <w:rsid w:val="00977BC4"/>
    <w:rsid w:val="00983F99"/>
    <w:rsid w:val="009C3564"/>
    <w:rsid w:val="009E6D33"/>
    <w:rsid w:val="00A4505B"/>
    <w:rsid w:val="00A544D0"/>
    <w:rsid w:val="00A718D3"/>
    <w:rsid w:val="00AA76D8"/>
    <w:rsid w:val="00AC0BAD"/>
    <w:rsid w:val="00AD587A"/>
    <w:rsid w:val="00AF04DB"/>
    <w:rsid w:val="00B74D33"/>
    <w:rsid w:val="00B81A15"/>
    <w:rsid w:val="00BD1AAC"/>
    <w:rsid w:val="00BD5443"/>
    <w:rsid w:val="00C53B73"/>
    <w:rsid w:val="00CA6830"/>
    <w:rsid w:val="00D05950"/>
    <w:rsid w:val="00D16707"/>
    <w:rsid w:val="00D2053A"/>
    <w:rsid w:val="00D42177"/>
    <w:rsid w:val="00DF7004"/>
    <w:rsid w:val="00E3324F"/>
    <w:rsid w:val="00E76161"/>
    <w:rsid w:val="00F04E3A"/>
    <w:rsid w:val="00F31911"/>
    <w:rsid w:val="00F3462A"/>
    <w:rsid w:val="00F56E75"/>
    <w:rsid w:val="00F65E13"/>
    <w:rsid w:val="00F7028B"/>
    <w:rsid w:val="00F87BEA"/>
    <w:rsid w:val="2A94A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70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1C"/>
    <w:rPr>
      <w:rFonts w:ascii="Tahoma" w:hAnsi="Tahoma" w:cs="Tahoma"/>
      <w:sz w:val="16"/>
      <w:szCs w:val="16"/>
    </w:rPr>
  </w:style>
  <w:style w:type="paragraph" w:styleId="ListParagraph">
    <w:name w:val="List Paragraph"/>
    <w:basedOn w:val="Normal"/>
    <w:uiPriority w:val="34"/>
    <w:qFormat/>
    <w:rsid w:val="00A544D0"/>
    <w:pPr>
      <w:ind w:left="720"/>
      <w:contextualSpacing/>
    </w:pPr>
  </w:style>
  <w:style w:type="table" w:styleId="TableGrid">
    <w:name w:val="Table Grid"/>
    <w:basedOn w:val="TableNormal"/>
    <w:uiPriority w:val="59"/>
    <w:rsid w:val="002D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D4F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0D6083"/>
    <w:rPr>
      <w:color w:val="0000FF"/>
      <w:u w:val="single"/>
    </w:rPr>
  </w:style>
  <w:style w:type="character" w:customStyle="1" w:styleId="pp-pub-journal1">
    <w:name w:val="pp-pub-journal1"/>
    <w:basedOn w:val="DefaultParagraphFont"/>
    <w:rsid w:val="0095053C"/>
    <w:rPr>
      <w:i/>
      <w:iCs/>
      <w:color w:val="008000"/>
    </w:rPr>
  </w:style>
  <w:style w:type="character" w:customStyle="1" w:styleId="pp-pub-year">
    <w:name w:val="pp-pub-year"/>
    <w:basedOn w:val="DefaultParagraphFont"/>
    <w:rsid w:val="0095053C"/>
  </w:style>
  <w:style w:type="character" w:customStyle="1" w:styleId="pp-pub-type1">
    <w:name w:val="pp-pub-type1"/>
    <w:basedOn w:val="DefaultParagraphFont"/>
    <w:rsid w:val="0095053C"/>
    <w:rPr>
      <w:color w:val="B3B3B3"/>
    </w:rPr>
  </w:style>
  <w:style w:type="character" w:customStyle="1" w:styleId="pp-pub-abstract-icon1">
    <w:name w:val="pp-pub-abstract-icon1"/>
    <w:basedOn w:val="DefaultParagraphFont"/>
    <w:rsid w:val="0095053C"/>
    <w:rPr>
      <w:color w:val="BFBFBF"/>
      <w:sz w:val="17"/>
      <w:szCs w:val="17"/>
    </w:rPr>
  </w:style>
  <w:style w:type="character" w:customStyle="1" w:styleId="Heading2Char">
    <w:name w:val="Heading 2 Char"/>
    <w:basedOn w:val="DefaultParagraphFont"/>
    <w:link w:val="Heading2"/>
    <w:uiPriority w:val="9"/>
    <w:rsid w:val="00DF7004"/>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70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91C"/>
    <w:rPr>
      <w:rFonts w:ascii="Tahoma" w:hAnsi="Tahoma" w:cs="Tahoma"/>
      <w:sz w:val="16"/>
      <w:szCs w:val="16"/>
    </w:rPr>
  </w:style>
  <w:style w:type="paragraph" w:styleId="ListParagraph">
    <w:name w:val="List Paragraph"/>
    <w:basedOn w:val="Normal"/>
    <w:uiPriority w:val="34"/>
    <w:qFormat/>
    <w:rsid w:val="00A544D0"/>
    <w:pPr>
      <w:ind w:left="720"/>
      <w:contextualSpacing/>
    </w:pPr>
  </w:style>
  <w:style w:type="table" w:styleId="TableGrid">
    <w:name w:val="Table Grid"/>
    <w:basedOn w:val="TableNormal"/>
    <w:uiPriority w:val="59"/>
    <w:rsid w:val="002D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D4F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0D6083"/>
    <w:rPr>
      <w:color w:val="0000FF"/>
      <w:u w:val="single"/>
    </w:rPr>
  </w:style>
  <w:style w:type="character" w:customStyle="1" w:styleId="pp-pub-journal1">
    <w:name w:val="pp-pub-journal1"/>
    <w:basedOn w:val="DefaultParagraphFont"/>
    <w:rsid w:val="0095053C"/>
    <w:rPr>
      <w:i/>
      <w:iCs/>
      <w:color w:val="008000"/>
    </w:rPr>
  </w:style>
  <w:style w:type="character" w:customStyle="1" w:styleId="pp-pub-year">
    <w:name w:val="pp-pub-year"/>
    <w:basedOn w:val="DefaultParagraphFont"/>
    <w:rsid w:val="0095053C"/>
  </w:style>
  <w:style w:type="character" w:customStyle="1" w:styleId="pp-pub-type1">
    <w:name w:val="pp-pub-type1"/>
    <w:basedOn w:val="DefaultParagraphFont"/>
    <w:rsid w:val="0095053C"/>
    <w:rPr>
      <w:color w:val="B3B3B3"/>
    </w:rPr>
  </w:style>
  <w:style w:type="character" w:customStyle="1" w:styleId="pp-pub-abstract-icon1">
    <w:name w:val="pp-pub-abstract-icon1"/>
    <w:basedOn w:val="DefaultParagraphFont"/>
    <w:rsid w:val="0095053C"/>
    <w:rPr>
      <w:color w:val="BFBFBF"/>
      <w:sz w:val="17"/>
      <w:szCs w:val="17"/>
    </w:rPr>
  </w:style>
  <w:style w:type="character" w:customStyle="1" w:styleId="Heading2Char">
    <w:name w:val="Heading 2 Char"/>
    <w:basedOn w:val="DefaultParagraphFont"/>
    <w:link w:val="Heading2"/>
    <w:uiPriority w:val="9"/>
    <w:rsid w:val="00DF700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75972">
      <w:bodyDiv w:val="1"/>
      <w:marLeft w:val="0"/>
      <w:marRight w:val="0"/>
      <w:marTop w:val="0"/>
      <w:marBottom w:val="0"/>
      <w:divBdr>
        <w:top w:val="none" w:sz="0" w:space="0" w:color="auto"/>
        <w:left w:val="none" w:sz="0" w:space="0" w:color="auto"/>
        <w:bottom w:val="none" w:sz="0" w:space="0" w:color="auto"/>
        <w:right w:val="none" w:sz="0" w:space="0" w:color="auto"/>
      </w:divBdr>
    </w:div>
    <w:div w:id="353118726">
      <w:bodyDiv w:val="1"/>
      <w:marLeft w:val="0"/>
      <w:marRight w:val="0"/>
      <w:marTop w:val="0"/>
      <w:marBottom w:val="0"/>
      <w:divBdr>
        <w:top w:val="none" w:sz="0" w:space="0" w:color="auto"/>
        <w:left w:val="none" w:sz="0" w:space="0" w:color="auto"/>
        <w:bottom w:val="none" w:sz="0" w:space="0" w:color="auto"/>
        <w:right w:val="none" w:sz="0" w:space="0" w:color="auto"/>
      </w:divBdr>
    </w:div>
    <w:div w:id="362363246">
      <w:bodyDiv w:val="1"/>
      <w:marLeft w:val="0"/>
      <w:marRight w:val="0"/>
      <w:marTop w:val="0"/>
      <w:marBottom w:val="0"/>
      <w:divBdr>
        <w:top w:val="none" w:sz="0" w:space="0" w:color="auto"/>
        <w:left w:val="none" w:sz="0" w:space="0" w:color="auto"/>
        <w:bottom w:val="none" w:sz="0" w:space="0" w:color="auto"/>
        <w:right w:val="none" w:sz="0" w:space="0" w:color="auto"/>
      </w:divBdr>
      <w:divsChild>
        <w:div w:id="84494368">
          <w:marLeft w:val="0"/>
          <w:marRight w:val="0"/>
          <w:marTop w:val="0"/>
          <w:marBottom w:val="0"/>
          <w:divBdr>
            <w:top w:val="none" w:sz="0" w:space="0" w:color="auto"/>
            <w:left w:val="none" w:sz="0" w:space="0" w:color="auto"/>
            <w:bottom w:val="none" w:sz="0" w:space="0" w:color="auto"/>
            <w:right w:val="none" w:sz="0" w:space="0" w:color="auto"/>
          </w:divBdr>
          <w:divsChild>
            <w:div w:id="1953127807">
              <w:marLeft w:val="0"/>
              <w:marRight w:val="0"/>
              <w:marTop w:val="0"/>
              <w:marBottom w:val="0"/>
              <w:divBdr>
                <w:top w:val="none" w:sz="0" w:space="0" w:color="auto"/>
                <w:left w:val="none" w:sz="0" w:space="0" w:color="auto"/>
                <w:bottom w:val="none" w:sz="0" w:space="0" w:color="auto"/>
                <w:right w:val="none" w:sz="0" w:space="0" w:color="auto"/>
              </w:divBdr>
              <w:divsChild>
                <w:div w:id="1150558750">
                  <w:marLeft w:val="0"/>
                  <w:marRight w:val="0"/>
                  <w:marTop w:val="0"/>
                  <w:marBottom w:val="0"/>
                  <w:divBdr>
                    <w:top w:val="none" w:sz="0" w:space="0" w:color="auto"/>
                    <w:left w:val="none" w:sz="0" w:space="0" w:color="auto"/>
                    <w:bottom w:val="none" w:sz="0" w:space="0" w:color="auto"/>
                    <w:right w:val="none" w:sz="0" w:space="0" w:color="auto"/>
                  </w:divBdr>
                  <w:divsChild>
                    <w:div w:id="560218191">
                      <w:marLeft w:val="0"/>
                      <w:marRight w:val="0"/>
                      <w:marTop w:val="0"/>
                      <w:marBottom w:val="0"/>
                      <w:divBdr>
                        <w:top w:val="none" w:sz="0" w:space="0" w:color="auto"/>
                        <w:left w:val="none" w:sz="0" w:space="0" w:color="auto"/>
                        <w:bottom w:val="none" w:sz="0" w:space="0" w:color="auto"/>
                        <w:right w:val="none" w:sz="0" w:space="0" w:color="auto"/>
                      </w:divBdr>
                      <w:divsChild>
                        <w:div w:id="918559213">
                          <w:marLeft w:val="0"/>
                          <w:marRight w:val="0"/>
                          <w:marTop w:val="0"/>
                          <w:marBottom w:val="0"/>
                          <w:divBdr>
                            <w:top w:val="none" w:sz="0" w:space="0" w:color="auto"/>
                            <w:left w:val="none" w:sz="0" w:space="0" w:color="auto"/>
                            <w:bottom w:val="none" w:sz="0" w:space="0" w:color="auto"/>
                            <w:right w:val="none" w:sz="0" w:space="0" w:color="auto"/>
                          </w:divBdr>
                          <w:divsChild>
                            <w:div w:id="1068578251">
                              <w:marLeft w:val="0"/>
                              <w:marRight w:val="0"/>
                              <w:marTop w:val="0"/>
                              <w:marBottom w:val="0"/>
                              <w:divBdr>
                                <w:top w:val="none" w:sz="0" w:space="0" w:color="auto"/>
                                <w:left w:val="none" w:sz="0" w:space="0" w:color="auto"/>
                                <w:bottom w:val="none" w:sz="0" w:space="0" w:color="auto"/>
                                <w:right w:val="none" w:sz="0" w:space="0" w:color="auto"/>
                              </w:divBdr>
                              <w:divsChild>
                                <w:div w:id="1597983527">
                                  <w:marLeft w:val="0"/>
                                  <w:marRight w:val="0"/>
                                  <w:marTop w:val="225"/>
                                  <w:marBottom w:val="225"/>
                                  <w:divBdr>
                                    <w:top w:val="none" w:sz="0" w:space="0" w:color="auto"/>
                                    <w:left w:val="none" w:sz="0" w:space="0" w:color="auto"/>
                                    <w:bottom w:val="none" w:sz="0" w:space="0" w:color="auto"/>
                                    <w:right w:val="none" w:sz="0" w:space="0" w:color="auto"/>
                                  </w:divBdr>
                                  <w:divsChild>
                                    <w:div w:id="1050423467">
                                      <w:marLeft w:val="0"/>
                                      <w:marRight w:val="0"/>
                                      <w:marTop w:val="0"/>
                                      <w:marBottom w:val="0"/>
                                      <w:divBdr>
                                        <w:top w:val="none" w:sz="0" w:space="0" w:color="auto"/>
                                        <w:left w:val="none" w:sz="0" w:space="0" w:color="auto"/>
                                        <w:bottom w:val="none" w:sz="0" w:space="0" w:color="auto"/>
                                        <w:right w:val="none" w:sz="0" w:space="0" w:color="auto"/>
                                      </w:divBdr>
                                    </w:div>
                                    <w:div w:id="565607415">
                                      <w:marLeft w:val="0"/>
                                      <w:marRight w:val="0"/>
                                      <w:marTop w:val="0"/>
                                      <w:marBottom w:val="0"/>
                                      <w:divBdr>
                                        <w:top w:val="none" w:sz="0" w:space="0" w:color="auto"/>
                                        <w:left w:val="none" w:sz="0" w:space="0" w:color="auto"/>
                                        <w:bottom w:val="none" w:sz="0" w:space="0" w:color="auto"/>
                                        <w:right w:val="none" w:sz="0" w:space="0" w:color="auto"/>
                                      </w:divBdr>
                                    </w:div>
                                    <w:div w:id="1310016763">
                                      <w:marLeft w:val="0"/>
                                      <w:marRight w:val="0"/>
                                      <w:marTop w:val="0"/>
                                      <w:marBottom w:val="0"/>
                                      <w:divBdr>
                                        <w:top w:val="none" w:sz="0" w:space="0" w:color="auto"/>
                                        <w:left w:val="none" w:sz="0" w:space="0" w:color="auto"/>
                                        <w:bottom w:val="none" w:sz="0" w:space="0" w:color="auto"/>
                                        <w:right w:val="none" w:sz="0" w:space="0" w:color="auto"/>
                                      </w:divBdr>
                                    </w:div>
                                    <w:div w:id="16573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724554">
      <w:bodyDiv w:val="1"/>
      <w:marLeft w:val="0"/>
      <w:marRight w:val="0"/>
      <w:marTop w:val="0"/>
      <w:marBottom w:val="0"/>
      <w:divBdr>
        <w:top w:val="none" w:sz="0" w:space="0" w:color="auto"/>
        <w:left w:val="none" w:sz="0" w:space="0" w:color="auto"/>
        <w:bottom w:val="none" w:sz="0" w:space="0" w:color="auto"/>
        <w:right w:val="none" w:sz="0" w:space="0" w:color="auto"/>
      </w:divBdr>
      <w:divsChild>
        <w:div w:id="707418471">
          <w:marLeft w:val="0"/>
          <w:marRight w:val="0"/>
          <w:marTop w:val="96"/>
          <w:marBottom w:val="0"/>
          <w:divBdr>
            <w:top w:val="none" w:sz="0" w:space="0" w:color="auto"/>
            <w:left w:val="none" w:sz="0" w:space="0" w:color="auto"/>
            <w:bottom w:val="none" w:sz="0" w:space="0" w:color="auto"/>
            <w:right w:val="none" w:sz="0" w:space="0" w:color="auto"/>
          </w:divBdr>
        </w:div>
      </w:divsChild>
    </w:div>
    <w:div w:id="202273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4" ma:contentTypeDescription="Create a new document." ma:contentTypeScope="" ma:versionID="87d255104f8536b5b85e366e31c232d6">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4c8521088e9a5bdd28cc23b4085936d8"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D227-FFD5-44BF-BF79-1EACF0D01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aa5ce-4b13-4929-997a-fd8c1bfe780a"/>
    <ds:schemaRef ds:uri="69aa3883-b251-412e-bf1d-acb3217d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6AB2B-DA3E-4AB7-8FEF-6975191240A6}">
  <ds:schemaRefs>
    <ds:schemaRef ds:uri="http://schemas.microsoft.com/sharepoint/v3/contenttype/forms"/>
  </ds:schemaRefs>
</ds:datastoreItem>
</file>

<file path=customXml/itemProps3.xml><?xml version="1.0" encoding="utf-8"?>
<ds:datastoreItem xmlns:ds="http://schemas.openxmlformats.org/officeDocument/2006/customXml" ds:itemID="{32B2EA37-27D1-4A96-B583-D61C334597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5ADE19-BA30-481B-A2A1-0796E8A4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John B</dc:creator>
  <cp:lastModifiedBy>Wright, Theodore C</cp:lastModifiedBy>
  <cp:revision>2</cp:revision>
  <dcterms:created xsi:type="dcterms:W3CDTF">2018-05-31T20:14:00Z</dcterms:created>
  <dcterms:modified xsi:type="dcterms:W3CDTF">2018-05-31T20:14:00Z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y fmtid="{D5CDD505-2E9C-101B-9397-08002B2CF9AE}" pid="3" name="Mendeley Document_1">
    <vt:lpwstr>True</vt:lpwstr>
  </property>
  <property fmtid="{D5CDD505-2E9C-101B-9397-08002B2CF9AE}" pid="4" name="Mendeley Unique User Id_1">
    <vt:lpwstr>d8c9c4f4-9e43-38eb-8837-f5f670285650</vt:lpwstr>
  </property>
  <property fmtid="{D5CDD505-2E9C-101B-9397-08002B2CF9AE}" pid="5" name="Mendeley Citation Style_1">
    <vt:lpwstr>http://www.zotero.org/styles/american-medical-association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