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2842" w14:textId="77777777" w:rsidR="009E6D33" w:rsidRPr="002F40F7" w:rsidRDefault="0084391C" w:rsidP="00A544D0">
      <w:pPr>
        <w:jc w:val="center"/>
        <w:rPr>
          <w:rFonts w:ascii="Arial" w:hAnsi="Arial" w:cs="Arial"/>
          <w:sz w:val="24"/>
          <w:szCs w:val="24"/>
        </w:rPr>
      </w:pPr>
      <w:r w:rsidRPr="002F40F7">
        <w:rPr>
          <w:rFonts w:ascii="Arial" w:hAnsi="Arial" w:cs="Arial"/>
          <w:noProof/>
          <w:sz w:val="24"/>
          <w:szCs w:val="24"/>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F22C5"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2F40F7">
        <w:rPr>
          <w:rFonts w:ascii="Arial" w:hAnsi="Arial" w:cs="Arial"/>
          <w:noProof/>
          <w:sz w:val="24"/>
          <w:szCs w:val="24"/>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14:paraId="4B4D3DCC" w14:textId="2BF8D543" w:rsidR="00A544D0" w:rsidRPr="002F40F7" w:rsidRDefault="004E3599" w:rsidP="00A544D0">
      <w:pPr>
        <w:rPr>
          <w:rFonts w:ascii="Arial" w:hAnsi="Arial" w:cs="Arial"/>
          <w:sz w:val="24"/>
          <w:szCs w:val="24"/>
        </w:rPr>
      </w:pPr>
      <w:r>
        <w:rPr>
          <w:rFonts w:ascii="Arial" w:hAnsi="Arial" w:cs="Arial"/>
          <w:sz w:val="24"/>
          <w:szCs w:val="24"/>
        </w:rPr>
        <w:t>Session Summary for 15</w:t>
      </w:r>
      <w:r w:rsidR="00B81A15">
        <w:rPr>
          <w:rFonts w:ascii="Arial" w:hAnsi="Arial" w:cs="Arial"/>
          <w:sz w:val="24"/>
          <w:szCs w:val="24"/>
        </w:rPr>
        <w:t xml:space="preserve"> May, 2018</w:t>
      </w:r>
    </w:p>
    <w:p w14:paraId="22CAE07B" w14:textId="26C9B598" w:rsidR="00983F99" w:rsidRDefault="00AD587A" w:rsidP="004E3E3C">
      <w:pPr>
        <w:rPr>
          <w:rFonts w:ascii="Arial" w:hAnsi="Arial" w:cs="Arial"/>
          <w:sz w:val="24"/>
          <w:szCs w:val="24"/>
          <w:u w:val="single"/>
        </w:rPr>
      </w:pPr>
      <w:r>
        <w:rPr>
          <w:rFonts w:ascii="Arial" w:hAnsi="Arial" w:cs="Arial"/>
          <w:sz w:val="24"/>
          <w:szCs w:val="24"/>
          <w:u w:val="single"/>
        </w:rPr>
        <w:t xml:space="preserve">Didactic: </w:t>
      </w:r>
      <w:r w:rsidR="004E3599">
        <w:rPr>
          <w:rFonts w:ascii="Arial" w:hAnsi="Arial" w:cs="Arial"/>
          <w:sz w:val="24"/>
          <w:szCs w:val="24"/>
          <w:u w:val="single"/>
        </w:rPr>
        <w:t>Antifungal Stewardship, Erica Stohs, MD</w:t>
      </w:r>
      <w:r w:rsidR="004E3E3C" w:rsidRPr="002F40F7">
        <w:rPr>
          <w:rFonts w:ascii="Arial" w:hAnsi="Arial" w:cs="Arial"/>
          <w:sz w:val="24"/>
          <w:szCs w:val="24"/>
          <w:u w:val="single"/>
        </w:rPr>
        <w:t xml:space="preserve">. </w:t>
      </w:r>
    </w:p>
    <w:p w14:paraId="67563E30" w14:textId="12CE0A5A" w:rsidR="00BD5443" w:rsidRDefault="004E3599" w:rsidP="00957CFC">
      <w:pPr>
        <w:pStyle w:val="ListParagraph"/>
        <w:numPr>
          <w:ilvl w:val="0"/>
          <w:numId w:val="15"/>
        </w:numPr>
        <w:rPr>
          <w:sz w:val="24"/>
          <w:szCs w:val="24"/>
        </w:rPr>
      </w:pPr>
      <w:r>
        <w:rPr>
          <w:sz w:val="24"/>
          <w:szCs w:val="24"/>
        </w:rPr>
        <w:t>Goal: Optimize antifungals to achieve the best outcomes while minimizing adverse events</w:t>
      </w:r>
      <w:r w:rsidR="00957CFC">
        <w:rPr>
          <w:sz w:val="24"/>
          <w:szCs w:val="24"/>
        </w:rPr>
        <w:t xml:space="preserve"> </w:t>
      </w:r>
      <w:r>
        <w:rPr>
          <w:sz w:val="24"/>
          <w:szCs w:val="24"/>
        </w:rPr>
        <w:t xml:space="preserve">and limiting selection pressures that drive resistance. </w:t>
      </w:r>
      <w:r w:rsidR="00957CFC">
        <w:rPr>
          <w:sz w:val="24"/>
          <w:szCs w:val="24"/>
        </w:rPr>
        <w:fldChar w:fldCharType="begin" w:fldLock="1"/>
      </w:r>
      <w:r w:rsidR="00957CFC">
        <w:rPr>
          <w:sz w:val="24"/>
          <w:szCs w:val="24"/>
        </w:rPr>
        <w:instrText>ADDIN CSL_CITATION { "citationItems" : [ { "id" : "ITEM-1", "itemData" : { "DOI" : "10.1093/mmy/myv076", "ISBN" : "1460-2709 (Electronic)\\r1369-3786 (Linking)", "ISSN" : "14602709", "PMID" : "26385381", "abstract" : "Candidemia and other forms of candidiasis are associated with considerable excess mortality and costs. Despite the addition of several new antifungal agents with improved spectrum and potency, the frequency of Candida infection and associated mortality have not decreased in the past two decades. The lack of rapid and sensitive diagnostic tests has led to considerable overuse of antifungal agents resulting in increased costs, selection pressure for resistance, unnecessary drug toxicity, and adverse drug interactions. Both the lack of timely diagnostic tests and emergence of antifungal resistance pose considerable problems for antifungal stewardship. Whereas antifungal stewardship with a focus on nosocomial candidiasis should be able to improve the administration of antifungal therapy in terms of drug selection, proper dose and duration, source control and de-escalation therapy, an important parameter, timeliness of antifungal therapy, remains a victim of slow and insensitive diagnostic tests. Fortunately, new proteomic and molecular diagnostic tools are improving the time to species identification and detection. In this review we will describe the potential impact that rapid diagnostic testing and antifungal stewardship can have on the management of nosocomial candidiasis.", "author" : [ { "dropping-particle" : "", "family" : "Pfaller", "given" : "Michael A.", "non-dropping-particle" : "", "parse-names" : false, "suffix" : "" }, { "dropping-particle" : "", "family" : "Castanheira", "given" : "Mariana", "non-dropping-particle" : "", "parse-names" : false, "suffix" : "" } ], "container-title" : "Medical Mycology", "id" : "ITEM-1", "issue" : "1", "issued" : { "date-parts" : [ [ "2016" ] ] }, "page" : "1-22", "title" : "Nosocomial candidiasis: Antifungal stewardship and the importance of rapid diagnosis", "type" : "article-journal", "volume" : "54" }, "uris" : [ "http://www.mendeley.com/documents/?uuid=66df9e1c-acad-48e7-a96f-90e44d8f0f92" ] }, { "id" : "ITEM-2", "itemData" : { "DOI" : "10.1097/QCO.0b013e32834e0680", "ISBN" : "09517375", "ISSN" : "09517375", "PMID" : "22123667", "abstract" : "PURPOSE OF REVIEW: Antimicrobial stewardship (AMS) has overwhelmingly focussed on antibiotics while antifungal agents have been largely neglected despite the few published audits of antifungal drug use demonstrating clear deficiencies in prescribing behaviour. In this review, we outline not only the elements of antifungal stewardship (AFS) in common with AMS but also features specific to antifungal drugs, combined with insights from our experience in AFS. RECENT FINDINGS: Invasive fungal diseases (IFDs) have a lower institutional incidence relative to infections caused by multiresistant bacteria, but their health and economic burden are substantial. Pharmacy costs inclusive of antifungal agents are a major determinant of IFD-attributable hospital cost. High drug costs and the toxicities of antifungal agents are the principal rationale for AFS while antifungal resistance is an emerging but less prevalent issue. The high mortality/morbidity associated with IFDs, including adverse impact on curative chemotherapy, combined with suboptimal diagnostic tools, has driven the overuse of antifungal drugs. De-escalation of empiric therapy is one of the most challenging aspects of AFS to implement. Nonculture-based tests may enhance AFS, but refinement of both target populations and clinical pathways incorporating their use is required. Performance indicators including structural, process and outcome measures are integral for demonstrating the value of AFS programmes. SUMMARY: Practice guidelines adapted to the local context are the cornerstone of AFS. Local epidemiology informs the choice of antifungal agents for the prevention and management of IFDs, underscoring the need for surveillance. Adherence to minimum standards of prescribing ensures that clinical outcomes are optimized and drug toxicities minimized, thus meeting healthcare quality and safety goals.", "author" : [ { "dropping-particle" : "", "family" : "Ananda-Rajah", "given" : "Michelle R.", "non-dropping-particle" : "", "parse-names" : false, "suffix" : "" }, { "dropping-particle" : "", "family" : "Slavin", "given" : "Monica A.", "non-dropping-particle" : "", "parse-names" : false, "suffix" : "" }, { "dropping-particle" : "", "family" : "Thursky", "given" : "Karin T.", "non-dropping-particle" : "", "parse-names" : false, "suffix" : "" } ], "container-title" : "Current Opinion in Infectious Diseases", "id" : "ITEM-2", "issue" : "1", "issued" : { "date-parts" : [ [ "2012" ] ] }, "page" : "107-115", "title" : "The case for antifungal stewardship", "type" : "article-journal", "volume" : "25" }, "uris" : [ "http://www.mendeley.com/documents/?uuid=24f77848-8ab4-4348-b0eb-866d022caf29" ] } ], "mendeley" : { "formattedCitation" : "&lt;sup&gt;1,2&lt;/sup&gt;", "plainTextFormattedCitation" : "1,2", "previouslyFormattedCitation" : "&lt;sup&gt;1,2&lt;/sup&gt;" }, "properties" : {  }, "schema" : "https://github.com/citation-style-language/schema/raw/master/csl-citation.json" }</w:instrText>
      </w:r>
      <w:r w:rsidR="00957CFC">
        <w:rPr>
          <w:sz w:val="24"/>
          <w:szCs w:val="24"/>
        </w:rPr>
        <w:fldChar w:fldCharType="separate"/>
      </w:r>
      <w:r w:rsidR="00957CFC" w:rsidRPr="00957CFC">
        <w:rPr>
          <w:noProof/>
          <w:sz w:val="24"/>
          <w:szCs w:val="24"/>
          <w:vertAlign w:val="superscript"/>
        </w:rPr>
        <w:t>1,2</w:t>
      </w:r>
      <w:r w:rsidR="00957CFC">
        <w:rPr>
          <w:sz w:val="24"/>
          <w:szCs w:val="24"/>
        </w:rPr>
        <w:fldChar w:fldCharType="end"/>
      </w:r>
    </w:p>
    <w:p w14:paraId="1C139739" w14:textId="77777777" w:rsidR="004E3599" w:rsidRDefault="004E3599" w:rsidP="004E3599">
      <w:pPr>
        <w:pStyle w:val="ListParagraph"/>
        <w:numPr>
          <w:ilvl w:val="0"/>
          <w:numId w:val="15"/>
        </w:numPr>
        <w:rPr>
          <w:sz w:val="24"/>
          <w:szCs w:val="24"/>
        </w:rPr>
      </w:pPr>
      <w:r>
        <w:rPr>
          <w:sz w:val="24"/>
          <w:szCs w:val="24"/>
        </w:rPr>
        <w:t xml:space="preserve">Cost savings: </w:t>
      </w:r>
    </w:p>
    <w:p w14:paraId="64069BEF" w14:textId="369D2240" w:rsidR="004E3599" w:rsidRDefault="004E3599" w:rsidP="004E3599">
      <w:pPr>
        <w:pStyle w:val="ListParagraph"/>
        <w:numPr>
          <w:ilvl w:val="1"/>
          <w:numId w:val="15"/>
        </w:numPr>
        <w:rPr>
          <w:sz w:val="24"/>
          <w:szCs w:val="24"/>
        </w:rPr>
      </w:pPr>
      <w:r>
        <w:rPr>
          <w:sz w:val="24"/>
          <w:szCs w:val="24"/>
        </w:rPr>
        <w:t xml:space="preserve">Daily </w:t>
      </w:r>
      <w:proofErr w:type="spellStart"/>
      <w:r>
        <w:rPr>
          <w:sz w:val="24"/>
          <w:szCs w:val="24"/>
        </w:rPr>
        <w:t>posaconazole</w:t>
      </w:r>
      <w:proofErr w:type="spellEnd"/>
      <w:r>
        <w:rPr>
          <w:sz w:val="24"/>
          <w:szCs w:val="24"/>
        </w:rPr>
        <w:t xml:space="preserve"> $500 v daily </w:t>
      </w:r>
      <w:proofErr w:type="spellStart"/>
      <w:r>
        <w:rPr>
          <w:sz w:val="24"/>
          <w:szCs w:val="24"/>
        </w:rPr>
        <w:t>voriconazole</w:t>
      </w:r>
      <w:proofErr w:type="spellEnd"/>
      <w:r>
        <w:rPr>
          <w:sz w:val="24"/>
          <w:szCs w:val="24"/>
        </w:rPr>
        <w:t xml:space="preserve"> $200</w:t>
      </w:r>
    </w:p>
    <w:p w14:paraId="4537C219" w14:textId="27BA5A0E" w:rsidR="004E3599" w:rsidRDefault="004E3599" w:rsidP="004E3599">
      <w:pPr>
        <w:pStyle w:val="ListParagraph"/>
        <w:numPr>
          <w:ilvl w:val="1"/>
          <w:numId w:val="15"/>
        </w:numPr>
        <w:rPr>
          <w:sz w:val="24"/>
          <w:szCs w:val="24"/>
        </w:rPr>
      </w:pPr>
      <w:r>
        <w:rPr>
          <w:sz w:val="24"/>
          <w:szCs w:val="24"/>
        </w:rPr>
        <w:t>Daily Micafungin $62 v fluconazole $4</w:t>
      </w:r>
    </w:p>
    <w:p w14:paraId="071E128D" w14:textId="10926933" w:rsidR="004E3599" w:rsidRDefault="004E3599" w:rsidP="004E3599">
      <w:pPr>
        <w:pStyle w:val="ListParagraph"/>
        <w:numPr>
          <w:ilvl w:val="0"/>
          <w:numId w:val="15"/>
        </w:numPr>
        <w:rPr>
          <w:sz w:val="24"/>
          <w:szCs w:val="24"/>
        </w:rPr>
      </w:pPr>
      <w:r>
        <w:rPr>
          <w:sz w:val="24"/>
          <w:szCs w:val="24"/>
        </w:rPr>
        <w:t xml:space="preserve">Candida: Normal colonizer of oropharynx, GI tract, and vagina. </w:t>
      </w:r>
    </w:p>
    <w:p w14:paraId="331D92B8" w14:textId="68817AF4" w:rsidR="004E3599" w:rsidRDefault="004E3599" w:rsidP="004E3599">
      <w:pPr>
        <w:pStyle w:val="ListParagraph"/>
        <w:numPr>
          <w:ilvl w:val="1"/>
          <w:numId w:val="15"/>
        </w:numPr>
        <w:rPr>
          <w:sz w:val="24"/>
          <w:szCs w:val="24"/>
        </w:rPr>
      </w:pPr>
      <w:r>
        <w:rPr>
          <w:sz w:val="24"/>
          <w:szCs w:val="24"/>
        </w:rPr>
        <w:t xml:space="preserve">Overgrowth can lead to symptoms. </w:t>
      </w:r>
    </w:p>
    <w:p w14:paraId="5BDA8086" w14:textId="000E6B9C" w:rsidR="004E3599" w:rsidRDefault="004E3599" w:rsidP="004E3599">
      <w:pPr>
        <w:pStyle w:val="ListParagraph"/>
        <w:numPr>
          <w:ilvl w:val="1"/>
          <w:numId w:val="15"/>
        </w:numPr>
        <w:rPr>
          <w:sz w:val="24"/>
          <w:szCs w:val="24"/>
        </w:rPr>
      </w:pPr>
      <w:r>
        <w:rPr>
          <w:sz w:val="24"/>
          <w:szCs w:val="24"/>
        </w:rPr>
        <w:t xml:space="preserve">Can develop invasive candidiasis in patients with RF. </w:t>
      </w:r>
    </w:p>
    <w:p w14:paraId="5CE2B389" w14:textId="79DC0848" w:rsidR="004E3599" w:rsidRDefault="00AF04DB" w:rsidP="004E3599">
      <w:pPr>
        <w:pStyle w:val="ListParagraph"/>
        <w:numPr>
          <w:ilvl w:val="0"/>
          <w:numId w:val="15"/>
        </w:numPr>
        <w:rPr>
          <w:sz w:val="24"/>
          <w:szCs w:val="24"/>
        </w:rPr>
      </w:pPr>
      <w:r w:rsidRPr="00AF04DB">
        <w:rPr>
          <w:i/>
          <w:sz w:val="24"/>
          <w:szCs w:val="24"/>
        </w:rPr>
        <w:t>C</w:t>
      </w:r>
      <w:r w:rsidR="00957CFC">
        <w:rPr>
          <w:i/>
          <w:sz w:val="24"/>
          <w:szCs w:val="24"/>
        </w:rPr>
        <w:t>.</w:t>
      </w:r>
      <w:r w:rsidRPr="00AF04DB">
        <w:rPr>
          <w:i/>
          <w:sz w:val="24"/>
          <w:szCs w:val="24"/>
        </w:rPr>
        <w:t xml:space="preserve"> </w:t>
      </w:r>
      <w:proofErr w:type="spellStart"/>
      <w:r w:rsidRPr="00AF04DB">
        <w:rPr>
          <w:i/>
          <w:sz w:val="24"/>
          <w:szCs w:val="24"/>
        </w:rPr>
        <w:t>albicans</w:t>
      </w:r>
      <w:proofErr w:type="spellEnd"/>
      <w:r>
        <w:rPr>
          <w:sz w:val="24"/>
          <w:szCs w:val="24"/>
        </w:rPr>
        <w:t xml:space="preserve"> and </w:t>
      </w:r>
      <w:r w:rsidR="00957CFC">
        <w:rPr>
          <w:i/>
          <w:sz w:val="24"/>
          <w:szCs w:val="24"/>
        </w:rPr>
        <w:t>C.</w:t>
      </w:r>
      <w:r w:rsidRPr="00AF04DB">
        <w:rPr>
          <w:i/>
          <w:sz w:val="24"/>
          <w:szCs w:val="24"/>
        </w:rPr>
        <w:t xml:space="preserve"> </w:t>
      </w:r>
      <w:proofErr w:type="spellStart"/>
      <w:r w:rsidRPr="00AF04DB">
        <w:rPr>
          <w:i/>
          <w:sz w:val="24"/>
          <w:szCs w:val="24"/>
        </w:rPr>
        <w:t>glabrata</w:t>
      </w:r>
      <w:proofErr w:type="spellEnd"/>
      <w:r>
        <w:rPr>
          <w:sz w:val="24"/>
          <w:szCs w:val="24"/>
        </w:rPr>
        <w:t xml:space="preserve"> are the most common.</w:t>
      </w:r>
      <w:r w:rsidR="00957CFC">
        <w:rPr>
          <w:sz w:val="24"/>
          <w:szCs w:val="24"/>
        </w:rPr>
        <w:fldChar w:fldCharType="begin" w:fldLock="1"/>
      </w:r>
      <w:r w:rsidR="00957CFC">
        <w:rPr>
          <w:sz w:val="24"/>
          <w:szCs w:val="24"/>
        </w:rPr>
        <w:instrText>ADDIN CSL_CITATION { "citationItems" : [ { "id" : "ITEM-1", "itemData" : { "DOI" : "10.1093/cid/civ933", "ISBN" : "1058-4838", "ISSN" : "15376591", "PMID" : "26679628", "abstract" : "It is important to realize that guidelines cannot always account for individual variation among patients. They are not intended to supplant physician judgment with respect to particular patients or special clinical situations. IDSA considers adherence to these guidelines to be voluntary, with the ultimate determination regarding their application to be made by the physician in the light of each patient's individual circumstances.", "author" : [ { "dropping-particle" : "", "family" : "Pappas", "given" : "Peter G.", "non-dropping-particle" : "", "parse-names" : false, "suffix" : "" }, { "dropping-particle" : "", "family" : "Kauffman", "given" : "Carol A.", "non-dropping-particle" : "", "parse-names" : false, "suffix" : "" }, { "dropping-particle" : "", "family" : "Andes", "given" : "David R.", "non-dropping-particle" : "", "parse-names" : false, "suffix" : "" }, { "dropping-particle" : "", "family" : "Clancy", "given" : "Cornelius J.", "non-dropping-particle" : "", "parse-names" : false, "suffix" : "" }, { "dropping-particle" : "", "family" : "Marr", "given" : "Kieren A.", "non-dropping-particle" : "", "parse-names" : false, "suffix" : "" }, { "dropping-particle" : "", "family" : "Ostrosky-Zeichner", "given" : "Luis", "non-dropping-particle" : "", "parse-names" : false, "suffix" : "" }, { "dropping-particle" : "", "family" : "Reboli", "given" : "Annette C.", "non-dropping-particle" : "", "parse-names" : false, "suffix" : "" }, { "dropping-particle" : "", "family" : "Schuster", "given" : "Mindy G.", "non-dropping-particle" : "", "parse-names" : false, "suffix" : "" }, { "dropping-particle" : "", "family" : "Vazquez", "given" : "Jose A.", "non-dropping-particle" : "", "parse-names" : false, "suffix" : "" }, { "dropping-particle" : "", "family" : "Walsh", "given" : "Thomas J.", "non-dropping-particle" : "", "parse-names" : false, "suffix" : "" }, { "dropping-particle" : "", "family" : "Zaoutis", "given" : "Theoklis E.", "non-dropping-particle" : "", "parse-names" : false, "suffix" : "" }, { "dropping-particle" : "", "family" : "Sobel", "given" : "Jack D.", "non-dropping-particle" : "", "parse-names" : false, "suffix" : "" } ], "container-title" : "Clinical Infectious Diseases", "id" : "ITEM-1", "issue" : "4", "issued" : { "date-parts" : [ [ "2016" ] ] }, "page" : "e1-e50", "title" : "Clinical Practice Guideline for the Management of Candidiasis: 2016 Update by the Infectious Diseases Society of America", "type" : "article-journal", "volume" : "62" }, "uris" : [ "http://www.mendeley.com/documents/?uuid=11aa93ac-dd25-4b9e-976e-4d2001b2039d" ] } ], "mendeley" : { "formattedCitation" : "&lt;sup&gt;3&lt;/sup&gt;", "plainTextFormattedCitation" : "3", "previouslyFormattedCitation" : "&lt;sup&gt;3&lt;/sup&gt;" }, "properties" : {  }, "schema" : "https://github.com/citation-style-language/schema/raw/master/csl-citation.json" }</w:instrText>
      </w:r>
      <w:r w:rsidR="00957CFC">
        <w:rPr>
          <w:sz w:val="24"/>
          <w:szCs w:val="24"/>
        </w:rPr>
        <w:fldChar w:fldCharType="separate"/>
      </w:r>
      <w:r w:rsidR="00957CFC" w:rsidRPr="00957CFC">
        <w:rPr>
          <w:noProof/>
          <w:sz w:val="24"/>
          <w:szCs w:val="24"/>
          <w:vertAlign w:val="superscript"/>
        </w:rPr>
        <w:t>3</w:t>
      </w:r>
      <w:r w:rsidR="00957CFC">
        <w:rPr>
          <w:sz w:val="24"/>
          <w:szCs w:val="24"/>
        </w:rPr>
        <w:fldChar w:fldCharType="end"/>
      </w:r>
      <w:r>
        <w:rPr>
          <w:sz w:val="24"/>
          <w:szCs w:val="24"/>
        </w:rPr>
        <w:t xml:space="preserve"> </w:t>
      </w:r>
    </w:p>
    <w:p w14:paraId="1EC50A90" w14:textId="28D4874B" w:rsidR="00AF04DB" w:rsidRDefault="00AF04DB" w:rsidP="004E3599">
      <w:pPr>
        <w:pStyle w:val="ListParagraph"/>
        <w:numPr>
          <w:ilvl w:val="0"/>
          <w:numId w:val="15"/>
        </w:numPr>
        <w:rPr>
          <w:sz w:val="24"/>
          <w:szCs w:val="24"/>
        </w:rPr>
      </w:pPr>
      <w:r>
        <w:rPr>
          <w:sz w:val="24"/>
          <w:szCs w:val="24"/>
        </w:rPr>
        <w:t>RF for invasive candida:</w:t>
      </w:r>
    </w:p>
    <w:p w14:paraId="0833085D" w14:textId="58600088" w:rsidR="00AF04DB" w:rsidRDefault="00AF04DB" w:rsidP="00AF04DB">
      <w:pPr>
        <w:pStyle w:val="ListParagraph"/>
        <w:numPr>
          <w:ilvl w:val="1"/>
          <w:numId w:val="15"/>
        </w:numPr>
        <w:rPr>
          <w:sz w:val="24"/>
          <w:szCs w:val="24"/>
        </w:rPr>
      </w:pPr>
      <w:r>
        <w:rPr>
          <w:sz w:val="24"/>
          <w:szCs w:val="24"/>
        </w:rPr>
        <w:t>Antibiotics, steroids, age, malignancy, PPI use, TPN, recent surgery, CKD/dialysis, malnutrition, prolonged ICU stay, mechanical ventilation.</w:t>
      </w:r>
      <w:r w:rsidR="00957CFC">
        <w:rPr>
          <w:sz w:val="24"/>
          <w:szCs w:val="24"/>
        </w:rPr>
        <w:fldChar w:fldCharType="begin" w:fldLock="1"/>
      </w:r>
      <w:r w:rsidR="00957CFC">
        <w:rPr>
          <w:sz w:val="24"/>
          <w:szCs w:val="24"/>
        </w:rPr>
        <w:instrText>ADDIN CSL_CITATION { "citationItems" : [ { "id" : "ITEM-1", "itemData" : { "DOI" : "10.1128/CMR.00029-06", "ISBN" : "0893-8512 (Print)\\r0893-8512 (Linking)", "ISSN" : "08938512", "PMID" : "17223626", "abstract" : "Invasive candidiasis (IC) is a leading cause of mycosis-associated mortality in the United States. We examined data from the National Center for Health Statistics and reviewed recent literature in order to update the epidemiology of IC. IC-associated mortality has remained stable, at approximately 0.4 deaths per 100,000 population, since 1997, while mortality associated with invasive aspergillosis has continued to decline. Candida albicans remains the predominant cause of IC, accounting for over half of all cases, but Candida glabrata has emerged as the second most common cause of IC in the United States, and several less common Candida species may be emerging, some of which can exhibit resistance to triazoles and/or amphotericin B. Crude and attributable rates of mortality due to IC remain unacceptably high and unchanged for the past 2 decades. Nonpharmacologic preventive strategies should be emphasized, including hand hygiene; appropriate use, placement, and care of central venous catheters; and prudent use of antimicrobial therapy. Given that delays in appropriate antifungal therapy are associated with increased mortality, improved use of early empirical, preemptive, and prophylactic therapies should also help reduce IC-associated mortality. Several studies have now identified important variables that can be used to predict risk of IC and to help guide preventive strategies such as antifungal prophylaxis and early empirical therapy. However, improved non-culture-based diagnostics are needed to expand the potential for preemptive (or early directed) therapy. Further research to improve diagnostic, preventive, and therapeutic strategies is necessary to reduce the considerable morbidity and mortality associated with IC.", "author" : [ { "dropping-particle" : "", "family" : "Pfaller", "given" : "M. A.", "non-dropping-particle" : "", "parse-names" : false, "suffix" : "" }, { "dropping-particle" : "", "family" : "Diekema", "given" : "D. J.", "non-dropping-particle" : "", "parse-names" : false, "suffix" : "" } ], "container-title" : "Clinical Microbiology Reviews", "id" : "ITEM-1", "issue" : "1", "issued" : { "date-parts" : [ [ "2007" ] ] }, "page" : "133-163", "title" : "Epidemiology of invasive candidiasis: A persistent public health problem", "type" : "article-journal", "volume" : "20" }, "uris" : [ "http://www.mendeley.com/documents/?uuid=c1163aff-8bea-45d0-a37f-4f5bc746feb3" ] } ], "mendeley" : { "formattedCitation" : "&lt;sup&gt;4&lt;/sup&gt;", "plainTextFormattedCitation" : "4", "previouslyFormattedCitation" : "&lt;sup&gt;4&lt;/sup&gt;" }, "properties" : {  }, "schema" : "https://github.com/citation-style-language/schema/raw/master/csl-citation.json" }</w:instrText>
      </w:r>
      <w:r w:rsidR="00957CFC">
        <w:rPr>
          <w:sz w:val="24"/>
          <w:szCs w:val="24"/>
        </w:rPr>
        <w:fldChar w:fldCharType="separate"/>
      </w:r>
      <w:r w:rsidR="00957CFC" w:rsidRPr="00957CFC">
        <w:rPr>
          <w:noProof/>
          <w:sz w:val="24"/>
          <w:szCs w:val="24"/>
          <w:vertAlign w:val="superscript"/>
        </w:rPr>
        <w:t>4</w:t>
      </w:r>
      <w:r w:rsidR="00957CFC">
        <w:rPr>
          <w:sz w:val="24"/>
          <w:szCs w:val="24"/>
        </w:rPr>
        <w:fldChar w:fldCharType="end"/>
      </w:r>
      <w:r>
        <w:rPr>
          <w:sz w:val="24"/>
          <w:szCs w:val="24"/>
        </w:rPr>
        <w:t xml:space="preserve"> </w:t>
      </w:r>
    </w:p>
    <w:p w14:paraId="2768B04E" w14:textId="5C983B2D" w:rsidR="00AF04DB" w:rsidRDefault="00AF04DB" w:rsidP="00AF04DB">
      <w:pPr>
        <w:pStyle w:val="ListParagraph"/>
        <w:numPr>
          <w:ilvl w:val="0"/>
          <w:numId w:val="15"/>
        </w:numPr>
        <w:rPr>
          <w:sz w:val="24"/>
          <w:szCs w:val="24"/>
        </w:rPr>
      </w:pPr>
      <w:proofErr w:type="spellStart"/>
      <w:r>
        <w:rPr>
          <w:sz w:val="24"/>
          <w:szCs w:val="24"/>
        </w:rPr>
        <w:t>Candidemia</w:t>
      </w:r>
      <w:proofErr w:type="spellEnd"/>
      <w:r>
        <w:rPr>
          <w:sz w:val="24"/>
          <w:szCs w:val="24"/>
        </w:rPr>
        <w:t>, candida bloodstream infection.</w:t>
      </w:r>
      <w:r w:rsidR="00957CFC">
        <w:rPr>
          <w:sz w:val="24"/>
          <w:szCs w:val="24"/>
        </w:rPr>
        <w:fldChar w:fldCharType="begin" w:fldLock="1"/>
      </w:r>
      <w:r w:rsidR="00957CFC">
        <w:rPr>
          <w:sz w:val="24"/>
          <w:szCs w:val="24"/>
        </w:rPr>
        <w:instrText>ADDIN CSL_CITATION { "citationItems" : [ { "id" : "ITEM-1", "itemData" : { "DOI" : "10.1093/cid/civ933", "ISBN" : "1058-4838", "ISSN" : "15376591", "PMID" : "26679628", "abstract" : "It is important to realize that guidelines cannot always account for individual variation among patients. They are not intended to supplant physician judgment with respect to particular patients or special clinical situations. IDSA considers adherence to these guidelines to be voluntary, with the ultimate determination regarding their application to be made by the physician in the light of each patient's individual circumstances.", "author" : [ { "dropping-particle" : "", "family" : "Pappas", "given" : "Peter G.", "non-dropping-particle" : "", "parse-names" : false, "suffix" : "" }, { "dropping-particle" : "", "family" : "Kauffman", "given" : "Carol A.", "non-dropping-particle" : "", "parse-names" : false, "suffix" : "" }, { "dropping-particle" : "", "family" : "Andes", "given" : "David R.", "non-dropping-particle" : "", "parse-names" : false, "suffix" : "" }, { "dropping-particle" : "", "family" : "Clancy", "given" : "Cornelius J.", "non-dropping-particle" : "", "parse-names" : false, "suffix" : "" }, { "dropping-particle" : "", "family" : "Marr", "given" : "Kieren A.", "non-dropping-particle" : "", "parse-names" : false, "suffix" : "" }, { "dropping-particle" : "", "family" : "Ostrosky-Zeichner", "given" : "Luis", "non-dropping-particle" : "", "parse-names" : false, "suffix" : "" }, { "dropping-particle" : "", "family" : "Reboli", "given" : "Annette C.", "non-dropping-particle" : "", "parse-names" : false, "suffix" : "" }, { "dropping-particle" : "", "family" : "Schuster", "given" : "Mindy G.", "non-dropping-particle" : "", "parse-names" : false, "suffix" : "" }, { "dropping-particle" : "", "family" : "Vazquez", "given" : "Jose A.", "non-dropping-particle" : "", "parse-names" : false, "suffix" : "" }, { "dropping-particle" : "", "family" : "Walsh", "given" : "Thomas J.", "non-dropping-particle" : "", "parse-names" : false, "suffix" : "" }, { "dropping-particle" : "", "family" : "Zaoutis", "given" : "Theoklis E.", "non-dropping-particle" : "", "parse-names" : false, "suffix" : "" }, { "dropping-particle" : "", "family" : "Sobel", "given" : "Jack D.", "non-dropping-particle" : "", "parse-names" : false, "suffix" : "" } ], "container-title" : "Clinical Infectious Diseases", "id" : "ITEM-1", "issue" : "4", "issued" : { "date-parts" : [ [ "2016" ] ] }, "page" : "e1-e50", "title" : "Clinical Practice Guideline for the Management of Candidiasis: 2016 Update by the Infectious Diseases Society of America", "type" : "article-journal", "volume" : "62" }, "uris" : [ "http://www.mendeley.com/documents/?uuid=11aa93ac-dd25-4b9e-976e-4d2001b2039d" ] } ], "mendeley" : { "formattedCitation" : "&lt;sup&gt;3&lt;/sup&gt;", "plainTextFormattedCitation" : "3", "previouslyFormattedCitation" : "&lt;sup&gt;3&lt;/sup&gt;" }, "properties" : {  }, "schema" : "https://github.com/citation-style-language/schema/raw/master/csl-citation.json" }</w:instrText>
      </w:r>
      <w:r w:rsidR="00957CFC">
        <w:rPr>
          <w:sz w:val="24"/>
          <w:szCs w:val="24"/>
        </w:rPr>
        <w:fldChar w:fldCharType="separate"/>
      </w:r>
      <w:r w:rsidR="00957CFC" w:rsidRPr="00957CFC">
        <w:rPr>
          <w:noProof/>
          <w:sz w:val="24"/>
          <w:szCs w:val="24"/>
          <w:vertAlign w:val="superscript"/>
        </w:rPr>
        <w:t>3</w:t>
      </w:r>
      <w:r w:rsidR="00957CFC">
        <w:rPr>
          <w:sz w:val="24"/>
          <w:szCs w:val="24"/>
        </w:rPr>
        <w:fldChar w:fldCharType="end"/>
      </w:r>
    </w:p>
    <w:p w14:paraId="4D1A3F5D" w14:textId="3D89BD92" w:rsidR="00AF04DB" w:rsidRDefault="00AF04DB" w:rsidP="00AF04DB">
      <w:pPr>
        <w:pStyle w:val="ListParagraph"/>
        <w:numPr>
          <w:ilvl w:val="1"/>
          <w:numId w:val="15"/>
        </w:numPr>
        <w:rPr>
          <w:sz w:val="24"/>
          <w:szCs w:val="24"/>
        </w:rPr>
      </w:pPr>
      <w:r>
        <w:rPr>
          <w:sz w:val="24"/>
          <w:szCs w:val="24"/>
        </w:rPr>
        <w:t xml:space="preserve">It is treated upfront with </w:t>
      </w:r>
      <w:proofErr w:type="spellStart"/>
      <w:r>
        <w:rPr>
          <w:sz w:val="24"/>
          <w:szCs w:val="24"/>
        </w:rPr>
        <w:t>mi</w:t>
      </w:r>
      <w:r w:rsidR="00957CFC">
        <w:rPr>
          <w:sz w:val="24"/>
          <w:szCs w:val="24"/>
        </w:rPr>
        <w:t>c</w:t>
      </w:r>
      <w:r>
        <w:rPr>
          <w:sz w:val="24"/>
          <w:szCs w:val="24"/>
        </w:rPr>
        <w:t>afungin</w:t>
      </w:r>
      <w:proofErr w:type="spellEnd"/>
      <w:r>
        <w:rPr>
          <w:sz w:val="24"/>
          <w:szCs w:val="24"/>
        </w:rPr>
        <w:t xml:space="preserve"> 100 mg IV. </w:t>
      </w:r>
    </w:p>
    <w:p w14:paraId="267B9D57" w14:textId="77777777" w:rsidR="00E76161" w:rsidRDefault="00E76161" w:rsidP="00E76161">
      <w:pPr>
        <w:pStyle w:val="ListParagraph"/>
        <w:numPr>
          <w:ilvl w:val="1"/>
          <w:numId w:val="15"/>
        </w:numPr>
        <w:rPr>
          <w:sz w:val="24"/>
          <w:szCs w:val="24"/>
        </w:rPr>
      </w:pPr>
      <w:r>
        <w:rPr>
          <w:sz w:val="24"/>
          <w:szCs w:val="24"/>
        </w:rPr>
        <w:t xml:space="preserve">Remove their central line. </w:t>
      </w:r>
    </w:p>
    <w:p w14:paraId="584A4E01" w14:textId="0ECCD6C2" w:rsidR="00AF04DB" w:rsidRDefault="00AF04DB" w:rsidP="00AF04DB">
      <w:pPr>
        <w:pStyle w:val="ListParagraph"/>
        <w:numPr>
          <w:ilvl w:val="1"/>
          <w:numId w:val="15"/>
        </w:numPr>
        <w:rPr>
          <w:sz w:val="24"/>
          <w:szCs w:val="24"/>
        </w:rPr>
      </w:pPr>
      <w:r>
        <w:rPr>
          <w:sz w:val="24"/>
          <w:szCs w:val="24"/>
        </w:rPr>
        <w:t xml:space="preserve">If the patient has no RF for resistance to azoles and is not critically ill then you can consider fluconazole 800 mg IV </w:t>
      </w:r>
      <w:r w:rsidR="00E76161">
        <w:rPr>
          <w:sz w:val="24"/>
          <w:szCs w:val="24"/>
        </w:rPr>
        <w:t xml:space="preserve">load </w:t>
      </w:r>
      <w:r>
        <w:rPr>
          <w:sz w:val="24"/>
          <w:szCs w:val="24"/>
        </w:rPr>
        <w:t>followed by 400 mg</w:t>
      </w:r>
      <w:r w:rsidR="00E76161">
        <w:rPr>
          <w:sz w:val="24"/>
          <w:szCs w:val="24"/>
        </w:rPr>
        <w:t xml:space="preserve"> IV or PO</w:t>
      </w:r>
      <w:r>
        <w:rPr>
          <w:sz w:val="24"/>
          <w:szCs w:val="24"/>
        </w:rPr>
        <w:t xml:space="preserve"> daily. </w:t>
      </w:r>
    </w:p>
    <w:p w14:paraId="3D8FA7FF" w14:textId="77777777" w:rsidR="00AF04DB" w:rsidRDefault="00AF04DB" w:rsidP="00AF04DB">
      <w:pPr>
        <w:pStyle w:val="ListParagraph"/>
        <w:numPr>
          <w:ilvl w:val="1"/>
          <w:numId w:val="15"/>
        </w:numPr>
        <w:rPr>
          <w:sz w:val="24"/>
          <w:szCs w:val="24"/>
        </w:rPr>
      </w:pPr>
      <w:r>
        <w:rPr>
          <w:sz w:val="24"/>
          <w:szCs w:val="24"/>
        </w:rPr>
        <w:t xml:space="preserve">Once blood cultures are clear and you have sensitivities and a species you can consider change to oral fluconazole. </w:t>
      </w:r>
    </w:p>
    <w:p w14:paraId="30EF6F47" w14:textId="4B2CB3E8" w:rsidR="00AF04DB" w:rsidRDefault="00AF04DB" w:rsidP="00AF04DB">
      <w:pPr>
        <w:pStyle w:val="ListParagraph"/>
        <w:numPr>
          <w:ilvl w:val="1"/>
          <w:numId w:val="15"/>
        </w:numPr>
        <w:rPr>
          <w:sz w:val="24"/>
          <w:szCs w:val="24"/>
        </w:rPr>
      </w:pPr>
      <w:r>
        <w:rPr>
          <w:sz w:val="24"/>
          <w:szCs w:val="24"/>
        </w:rPr>
        <w:t xml:space="preserve">All patients with </w:t>
      </w:r>
      <w:proofErr w:type="spellStart"/>
      <w:r>
        <w:rPr>
          <w:sz w:val="24"/>
          <w:szCs w:val="24"/>
        </w:rPr>
        <w:t>candidemia</w:t>
      </w:r>
      <w:proofErr w:type="spellEnd"/>
      <w:r>
        <w:rPr>
          <w:sz w:val="24"/>
          <w:szCs w:val="24"/>
        </w:rPr>
        <w:t xml:space="preserve"> should have ophthalmology exam. </w:t>
      </w:r>
    </w:p>
    <w:p w14:paraId="0CFEB60F" w14:textId="57B6DED3" w:rsidR="00AF04DB" w:rsidRDefault="00AF04DB" w:rsidP="00AF04DB">
      <w:pPr>
        <w:pStyle w:val="ListParagraph"/>
        <w:numPr>
          <w:ilvl w:val="1"/>
          <w:numId w:val="15"/>
        </w:numPr>
        <w:rPr>
          <w:sz w:val="24"/>
          <w:szCs w:val="24"/>
        </w:rPr>
      </w:pPr>
      <w:r>
        <w:rPr>
          <w:sz w:val="24"/>
          <w:szCs w:val="24"/>
        </w:rPr>
        <w:t>Recommended duration is 2 weeks</w:t>
      </w:r>
      <w:r w:rsidR="00E76161">
        <w:rPr>
          <w:sz w:val="24"/>
          <w:szCs w:val="24"/>
        </w:rPr>
        <w:t xml:space="preserve"> after blood culture clearance and source control</w:t>
      </w:r>
      <w:r>
        <w:rPr>
          <w:sz w:val="24"/>
          <w:szCs w:val="24"/>
        </w:rPr>
        <w:t xml:space="preserve">. </w:t>
      </w:r>
    </w:p>
    <w:p w14:paraId="6CEBC558" w14:textId="2BFEA5E6" w:rsidR="00AF04DB" w:rsidRDefault="00AF04DB" w:rsidP="00AF04DB">
      <w:pPr>
        <w:pStyle w:val="ListParagraph"/>
        <w:numPr>
          <w:ilvl w:val="1"/>
          <w:numId w:val="15"/>
        </w:numPr>
        <w:rPr>
          <w:sz w:val="24"/>
          <w:szCs w:val="24"/>
        </w:rPr>
      </w:pPr>
      <w:r>
        <w:rPr>
          <w:sz w:val="24"/>
          <w:szCs w:val="24"/>
        </w:rPr>
        <w:t xml:space="preserve">Remove ETT and </w:t>
      </w:r>
      <w:proofErr w:type="spellStart"/>
      <w:r>
        <w:rPr>
          <w:sz w:val="24"/>
          <w:szCs w:val="24"/>
        </w:rPr>
        <w:t>foley</w:t>
      </w:r>
      <w:proofErr w:type="spellEnd"/>
      <w:r>
        <w:rPr>
          <w:sz w:val="24"/>
          <w:szCs w:val="24"/>
        </w:rPr>
        <w:t xml:space="preserve"> catheter on case by case basis; not necessarily required. </w:t>
      </w:r>
      <w:bookmarkStart w:id="0" w:name="_GoBack"/>
      <w:bookmarkEnd w:id="0"/>
    </w:p>
    <w:p w14:paraId="6E8363FB" w14:textId="0284D91C" w:rsidR="00AF04DB" w:rsidRDefault="00AF04DB" w:rsidP="00AF04DB">
      <w:pPr>
        <w:pStyle w:val="ListParagraph"/>
        <w:numPr>
          <w:ilvl w:val="0"/>
          <w:numId w:val="15"/>
        </w:numPr>
        <w:rPr>
          <w:sz w:val="24"/>
          <w:szCs w:val="24"/>
        </w:rPr>
      </w:pPr>
      <w:r w:rsidRPr="00AF04DB">
        <w:rPr>
          <w:i/>
          <w:sz w:val="24"/>
          <w:szCs w:val="24"/>
        </w:rPr>
        <w:t xml:space="preserve">C </w:t>
      </w:r>
      <w:proofErr w:type="spellStart"/>
      <w:r w:rsidRPr="00AF04DB">
        <w:rPr>
          <w:i/>
          <w:sz w:val="24"/>
          <w:szCs w:val="24"/>
        </w:rPr>
        <w:t>auris</w:t>
      </w:r>
      <w:proofErr w:type="spellEnd"/>
      <w:r w:rsidRPr="00AF04DB">
        <w:rPr>
          <w:i/>
          <w:sz w:val="24"/>
          <w:szCs w:val="24"/>
        </w:rPr>
        <w:t>,</w:t>
      </w:r>
      <w:r>
        <w:rPr>
          <w:sz w:val="24"/>
          <w:szCs w:val="24"/>
        </w:rPr>
        <w:t xml:space="preserve"> a new threat. Risks include recent surgery, diabetes, or broad spectrum antibiotic use. Also, recent nursing home stay and presents of CVC. 30-60% mortality. </w:t>
      </w:r>
      <w:proofErr w:type="spellStart"/>
      <w:r>
        <w:rPr>
          <w:sz w:val="24"/>
          <w:szCs w:val="24"/>
        </w:rPr>
        <w:t>Echinocandins</w:t>
      </w:r>
      <w:proofErr w:type="spellEnd"/>
      <w:r>
        <w:rPr>
          <w:sz w:val="24"/>
          <w:szCs w:val="24"/>
        </w:rPr>
        <w:t xml:space="preserve"> are still first line.</w:t>
      </w:r>
      <w:r w:rsidR="00957CFC">
        <w:rPr>
          <w:sz w:val="24"/>
          <w:szCs w:val="24"/>
          <w:vertAlign w:val="superscript"/>
        </w:rPr>
        <w:t>5</w:t>
      </w:r>
      <w:r>
        <w:rPr>
          <w:sz w:val="24"/>
          <w:szCs w:val="24"/>
        </w:rPr>
        <w:t xml:space="preserve"> </w:t>
      </w:r>
    </w:p>
    <w:p w14:paraId="497C3BD6" w14:textId="77777777" w:rsidR="00302DD1" w:rsidRDefault="00302DD1" w:rsidP="00302DD1">
      <w:pPr>
        <w:pStyle w:val="ListParagraph"/>
        <w:ind w:left="360"/>
        <w:rPr>
          <w:i/>
          <w:sz w:val="24"/>
          <w:szCs w:val="24"/>
        </w:rPr>
      </w:pPr>
    </w:p>
    <w:p w14:paraId="3F6268F5" w14:textId="77777777" w:rsidR="00957CFC" w:rsidRDefault="00302DD1" w:rsidP="00957CFC">
      <w:pPr>
        <w:pStyle w:val="ListParagraph"/>
        <w:ind w:left="0"/>
        <w:rPr>
          <w:sz w:val="24"/>
          <w:szCs w:val="24"/>
        </w:rPr>
      </w:pPr>
      <w:r>
        <w:rPr>
          <w:sz w:val="24"/>
          <w:szCs w:val="24"/>
        </w:rPr>
        <w:t>References:</w:t>
      </w:r>
      <w:r w:rsidR="00957CFC">
        <w:rPr>
          <w:sz w:val="24"/>
          <w:szCs w:val="24"/>
        </w:rPr>
        <w:tab/>
      </w:r>
    </w:p>
    <w:p w14:paraId="244A5C97" w14:textId="542C37B8" w:rsidR="00957CFC" w:rsidRPr="00957CFC" w:rsidRDefault="00957CFC" w:rsidP="00957CFC">
      <w:pPr>
        <w:pStyle w:val="ListParagraph"/>
        <w:ind w:left="0"/>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957CFC">
        <w:rPr>
          <w:rFonts w:ascii="Calibri" w:hAnsi="Calibri" w:cs="Calibri"/>
          <w:noProof/>
          <w:sz w:val="24"/>
          <w:szCs w:val="24"/>
        </w:rPr>
        <w:t xml:space="preserve">1. </w:t>
      </w:r>
      <w:r w:rsidRPr="00957CFC">
        <w:rPr>
          <w:rFonts w:ascii="Calibri" w:hAnsi="Calibri" w:cs="Calibri"/>
          <w:noProof/>
          <w:sz w:val="24"/>
          <w:szCs w:val="24"/>
        </w:rPr>
        <w:tab/>
        <w:t xml:space="preserve">Pfaller MA, Castanheira M. Nosocomial candidiasis: Antifungal stewardship and the importance of rapid diagnosis. </w:t>
      </w:r>
      <w:r w:rsidRPr="00957CFC">
        <w:rPr>
          <w:rFonts w:ascii="Calibri" w:hAnsi="Calibri" w:cs="Calibri"/>
          <w:i/>
          <w:iCs/>
          <w:noProof/>
          <w:sz w:val="24"/>
          <w:szCs w:val="24"/>
        </w:rPr>
        <w:t>Med Mycol</w:t>
      </w:r>
      <w:r w:rsidRPr="00957CFC">
        <w:rPr>
          <w:rFonts w:ascii="Calibri" w:hAnsi="Calibri" w:cs="Calibri"/>
          <w:noProof/>
          <w:sz w:val="24"/>
          <w:szCs w:val="24"/>
        </w:rPr>
        <w:t>. 2016;54(1):1-22. doi:10.1093/mmy/myv076</w:t>
      </w:r>
    </w:p>
    <w:p w14:paraId="53CEE4AC" w14:textId="77777777" w:rsidR="00957CFC" w:rsidRPr="00957CFC" w:rsidRDefault="00957CFC" w:rsidP="00957CFC">
      <w:pPr>
        <w:widowControl w:val="0"/>
        <w:autoSpaceDE w:val="0"/>
        <w:autoSpaceDN w:val="0"/>
        <w:adjustRightInd w:val="0"/>
        <w:spacing w:line="240" w:lineRule="auto"/>
        <w:ind w:left="640" w:hanging="640"/>
        <w:rPr>
          <w:rFonts w:ascii="Calibri" w:hAnsi="Calibri" w:cs="Calibri"/>
          <w:noProof/>
          <w:sz w:val="24"/>
          <w:szCs w:val="24"/>
        </w:rPr>
      </w:pPr>
      <w:r w:rsidRPr="00957CFC">
        <w:rPr>
          <w:rFonts w:ascii="Calibri" w:hAnsi="Calibri" w:cs="Calibri"/>
          <w:noProof/>
          <w:sz w:val="24"/>
          <w:szCs w:val="24"/>
        </w:rPr>
        <w:t xml:space="preserve">2. </w:t>
      </w:r>
      <w:r w:rsidRPr="00957CFC">
        <w:rPr>
          <w:rFonts w:ascii="Calibri" w:hAnsi="Calibri" w:cs="Calibri"/>
          <w:noProof/>
          <w:sz w:val="24"/>
          <w:szCs w:val="24"/>
        </w:rPr>
        <w:tab/>
        <w:t xml:space="preserve">Ananda-Rajah MR, Slavin MA, Thursky KT. The case for antifungal stewardship. </w:t>
      </w:r>
      <w:r w:rsidRPr="00957CFC">
        <w:rPr>
          <w:rFonts w:ascii="Calibri" w:hAnsi="Calibri" w:cs="Calibri"/>
          <w:i/>
          <w:iCs/>
          <w:noProof/>
          <w:sz w:val="24"/>
          <w:szCs w:val="24"/>
        </w:rPr>
        <w:t xml:space="preserve">Curr Opin </w:t>
      </w:r>
      <w:r w:rsidRPr="00957CFC">
        <w:rPr>
          <w:rFonts w:ascii="Calibri" w:hAnsi="Calibri" w:cs="Calibri"/>
          <w:i/>
          <w:iCs/>
          <w:noProof/>
          <w:sz w:val="24"/>
          <w:szCs w:val="24"/>
        </w:rPr>
        <w:lastRenderedPageBreak/>
        <w:t>Infect Dis</w:t>
      </w:r>
      <w:r w:rsidRPr="00957CFC">
        <w:rPr>
          <w:rFonts w:ascii="Calibri" w:hAnsi="Calibri" w:cs="Calibri"/>
          <w:noProof/>
          <w:sz w:val="24"/>
          <w:szCs w:val="24"/>
        </w:rPr>
        <w:t>. 2012;25(1):107-115. doi:10.1097/QCO.0b013e32834e0680</w:t>
      </w:r>
    </w:p>
    <w:p w14:paraId="43276FD4" w14:textId="77777777" w:rsidR="00957CFC" w:rsidRPr="00957CFC" w:rsidRDefault="00957CFC" w:rsidP="00957CFC">
      <w:pPr>
        <w:widowControl w:val="0"/>
        <w:autoSpaceDE w:val="0"/>
        <w:autoSpaceDN w:val="0"/>
        <w:adjustRightInd w:val="0"/>
        <w:spacing w:line="240" w:lineRule="auto"/>
        <w:ind w:left="640" w:hanging="640"/>
        <w:rPr>
          <w:rFonts w:ascii="Calibri" w:hAnsi="Calibri" w:cs="Calibri"/>
          <w:noProof/>
          <w:sz w:val="24"/>
          <w:szCs w:val="24"/>
        </w:rPr>
      </w:pPr>
      <w:r w:rsidRPr="00957CFC">
        <w:rPr>
          <w:rFonts w:ascii="Calibri" w:hAnsi="Calibri" w:cs="Calibri"/>
          <w:noProof/>
          <w:sz w:val="24"/>
          <w:szCs w:val="24"/>
        </w:rPr>
        <w:t xml:space="preserve">3. </w:t>
      </w:r>
      <w:r w:rsidRPr="00957CFC">
        <w:rPr>
          <w:rFonts w:ascii="Calibri" w:hAnsi="Calibri" w:cs="Calibri"/>
          <w:noProof/>
          <w:sz w:val="24"/>
          <w:szCs w:val="24"/>
        </w:rPr>
        <w:tab/>
        <w:t xml:space="preserve">Pappas PG, Kauffman CA, Andes DR, et al. Clinical Practice Guideline for the Management of Candidiasis: 2016 Update by the Infectious Diseases Society of America. </w:t>
      </w:r>
      <w:r w:rsidRPr="00957CFC">
        <w:rPr>
          <w:rFonts w:ascii="Calibri" w:hAnsi="Calibri" w:cs="Calibri"/>
          <w:i/>
          <w:iCs/>
          <w:noProof/>
          <w:sz w:val="24"/>
          <w:szCs w:val="24"/>
        </w:rPr>
        <w:t>Clin Infect Dis</w:t>
      </w:r>
      <w:r w:rsidRPr="00957CFC">
        <w:rPr>
          <w:rFonts w:ascii="Calibri" w:hAnsi="Calibri" w:cs="Calibri"/>
          <w:noProof/>
          <w:sz w:val="24"/>
          <w:szCs w:val="24"/>
        </w:rPr>
        <w:t>. 2016;62(4):e1-e50. doi:10.1093/cid/civ933</w:t>
      </w:r>
    </w:p>
    <w:p w14:paraId="5AF9ED95" w14:textId="77777777" w:rsidR="00957CFC" w:rsidRPr="00957CFC" w:rsidRDefault="00957CFC" w:rsidP="00957CFC">
      <w:pPr>
        <w:widowControl w:val="0"/>
        <w:autoSpaceDE w:val="0"/>
        <w:autoSpaceDN w:val="0"/>
        <w:adjustRightInd w:val="0"/>
        <w:spacing w:line="240" w:lineRule="auto"/>
        <w:ind w:left="640" w:hanging="640"/>
        <w:rPr>
          <w:rFonts w:ascii="Calibri" w:hAnsi="Calibri" w:cs="Calibri"/>
          <w:noProof/>
          <w:sz w:val="24"/>
        </w:rPr>
      </w:pPr>
      <w:r w:rsidRPr="00957CFC">
        <w:rPr>
          <w:rFonts w:ascii="Calibri" w:hAnsi="Calibri" w:cs="Calibri"/>
          <w:noProof/>
          <w:sz w:val="24"/>
          <w:szCs w:val="24"/>
        </w:rPr>
        <w:t xml:space="preserve">4. </w:t>
      </w:r>
      <w:r w:rsidRPr="00957CFC">
        <w:rPr>
          <w:rFonts w:ascii="Calibri" w:hAnsi="Calibri" w:cs="Calibri"/>
          <w:noProof/>
          <w:sz w:val="24"/>
          <w:szCs w:val="24"/>
        </w:rPr>
        <w:tab/>
        <w:t xml:space="preserve">Pfaller MA, Diekema DJ. Epidemiology of invasive candidiasis: A persistent public health problem. </w:t>
      </w:r>
      <w:r w:rsidRPr="00957CFC">
        <w:rPr>
          <w:rFonts w:ascii="Calibri" w:hAnsi="Calibri" w:cs="Calibri"/>
          <w:i/>
          <w:iCs/>
          <w:noProof/>
          <w:sz w:val="24"/>
          <w:szCs w:val="24"/>
        </w:rPr>
        <w:t>Clin Microbiol Rev</w:t>
      </w:r>
      <w:r w:rsidRPr="00957CFC">
        <w:rPr>
          <w:rFonts w:ascii="Calibri" w:hAnsi="Calibri" w:cs="Calibri"/>
          <w:noProof/>
          <w:sz w:val="24"/>
          <w:szCs w:val="24"/>
        </w:rPr>
        <w:t>. 2007;20(1):133-163. doi:10.1128/CMR.00029-06</w:t>
      </w:r>
    </w:p>
    <w:p w14:paraId="58384A3D" w14:textId="77777777" w:rsidR="00957CFC" w:rsidRDefault="00957CFC" w:rsidP="00957CFC">
      <w:pPr>
        <w:pStyle w:val="ListParagraph"/>
        <w:ind w:left="0"/>
        <w:rPr>
          <w:sz w:val="24"/>
          <w:szCs w:val="24"/>
        </w:rPr>
      </w:pPr>
      <w:r>
        <w:rPr>
          <w:sz w:val="24"/>
          <w:szCs w:val="24"/>
        </w:rPr>
        <w:fldChar w:fldCharType="end"/>
      </w:r>
      <w:r>
        <w:rPr>
          <w:sz w:val="24"/>
          <w:szCs w:val="24"/>
        </w:rPr>
        <w:t>5.</w:t>
      </w:r>
      <w:r>
        <w:rPr>
          <w:sz w:val="24"/>
          <w:szCs w:val="24"/>
        </w:rPr>
        <w:tab/>
        <w:t xml:space="preserve">CDC. Candida </w:t>
      </w:r>
      <w:proofErr w:type="spellStart"/>
      <w:r>
        <w:rPr>
          <w:sz w:val="24"/>
          <w:szCs w:val="24"/>
        </w:rPr>
        <w:t>auris</w:t>
      </w:r>
      <w:proofErr w:type="spellEnd"/>
      <w:r>
        <w:rPr>
          <w:sz w:val="24"/>
          <w:szCs w:val="24"/>
        </w:rPr>
        <w:t xml:space="preserve">. </w:t>
      </w:r>
    </w:p>
    <w:p w14:paraId="393DB5F6" w14:textId="3C099F7D" w:rsidR="00302DD1" w:rsidRPr="00957CFC" w:rsidRDefault="00302DD1" w:rsidP="00957CFC">
      <w:pPr>
        <w:pStyle w:val="ListParagraph"/>
        <w:ind w:left="0" w:firstLine="720"/>
        <w:rPr>
          <w:sz w:val="24"/>
          <w:szCs w:val="24"/>
        </w:rPr>
      </w:pPr>
      <w:r w:rsidRPr="00957CFC">
        <w:rPr>
          <w:sz w:val="24"/>
          <w:szCs w:val="24"/>
        </w:rPr>
        <w:t>https://www.cdc.gov/fungal/candida-auris/</w:t>
      </w:r>
    </w:p>
    <w:p w14:paraId="57674A09" w14:textId="77777777" w:rsidR="00302DD1" w:rsidRPr="00302DD1" w:rsidRDefault="00302DD1" w:rsidP="00302DD1">
      <w:pPr>
        <w:pStyle w:val="ListParagraph"/>
        <w:rPr>
          <w:sz w:val="24"/>
          <w:szCs w:val="24"/>
        </w:rPr>
      </w:pPr>
      <w:r w:rsidRPr="00302DD1">
        <w:rPr>
          <w:sz w:val="24"/>
          <w:szCs w:val="24"/>
        </w:rPr>
        <w:t>https://www.cdc.gov/drugresistance/c-auris.html</w:t>
      </w:r>
    </w:p>
    <w:p w14:paraId="1292AD46" w14:textId="77777777" w:rsidR="00302DD1" w:rsidRPr="00302DD1" w:rsidRDefault="00302DD1" w:rsidP="00302DD1">
      <w:pPr>
        <w:pStyle w:val="ListParagraph"/>
        <w:ind w:left="0"/>
        <w:rPr>
          <w:sz w:val="24"/>
          <w:szCs w:val="24"/>
        </w:rPr>
      </w:pPr>
    </w:p>
    <w:sectPr w:rsidR="00302DD1" w:rsidRPr="0030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65BB7"/>
    <w:multiLevelType w:val="hybridMultilevel"/>
    <w:tmpl w:val="DE9CC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72588"/>
    <w:multiLevelType w:val="hybridMultilevel"/>
    <w:tmpl w:val="0D8AE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A6AD6"/>
    <w:multiLevelType w:val="hybridMultilevel"/>
    <w:tmpl w:val="51FA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5A0"/>
    <w:multiLevelType w:val="hybridMultilevel"/>
    <w:tmpl w:val="E216E508"/>
    <w:lvl w:ilvl="0" w:tplc="207EF6D6">
      <w:start w:val="1"/>
      <w:numFmt w:val="bullet"/>
      <w:lvlText w:val="•"/>
      <w:lvlJc w:val="left"/>
      <w:pPr>
        <w:tabs>
          <w:tab w:val="num" w:pos="720"/>
        </w:tabs>
        <w:ind w:left="720" w:hanging="360"/>
      </w:pPr>
      <w:rPr>
        <w:rFonts w:ascii="Times New Roman" w:hAnsi="Times New Roman" w:hint="default"/>
      </w:rPr>
    </w:lvl>
    <w:lvl w:ilvl="1" w:tplc="38A0D610" w:tentative="1">
      <w:start w:val="1"/>
      <w:numFmt w:val="bullet"/>
      <w:lvlText w:val="•"/>
      <w:lvlJc w:val="left"/>
      <w:pPr>
        <w:tabs>
          <w:tab w:val="num" w:pos="1440"/>
        </w:tabs>
        <w:ind w:left="1440" w:hanging="360"/>
      </w:pPr>
      <w:rPr>
        <w:rFonts w:ascii="Times New Roman" w:hAnsi="Times New Roman" w:hint="default"/>
      </w:rPr>
    </w:lvl>
    <w:lvl w:ilvl="2" w:tplc="A5AADF90" w:tentative="1">
      <w:start w:val="1"/>
      <w:numFmt w:val="bullet"/>
      <w:lvlText w:val="•"/>
      <w:lvlJc w:val="left"/>
      <w:pPr>
        <w:tabs>
          <w:tab w:val="num" w:pos="2160"/>
        </w:tabs>
        <w:ind w:left="2160" w:hanging="360"/>
      </w:pPr>
      <w:rPr>
        <w:rFonts w:ascii="Times New Roman" w:hAnsi="Times New Roman" w:hint="default"/>
      </w:rPr>
    </w:lvl>
    <w:lvl w:ilvl="3" w:tplc="466AB0FC" w:tentative="1">
      <w:start w:val="1"/>
      <w:numFmt w:val="bullet"/>
      <w:lvlText w:val="•"/>
      <w:lvlJc w:val="left"/>
      <w:pPr>
        <w:tabs>
          <w:tab w:val="num" w:pos="2880"/>
        </w:tabs>
        <w:ind w:left="2880" w:hanging="360"/>
      </w:pPr>
      <w:rPr>
        <w:rFonts w:ascii="Times New Roman" w:hAnsi="Times New Roman" w:hint="default"/>
      </w:rPr>
    </w:lvl>
    <w:lvl w:ilvl="4" w:tplc="62108AB8" w:tentative="1">
      <w:start w:val="1"/>
      <w:numFmt w:val="bullet"/>
      <w:lvlText w:val="•"/>
      <w:lvlJc w:val="left"/>
      <w:pPr>
        <w:tabs>
          <w:tab w:val="num" w:pos="3600"/>
        </w:tabs>
        <w:ind w:left="3600" w:hanging="360"/>
      </w:pPr>
      <w:rPr>
        <w:rFonts w:ascii="Times New Roman" w:hAnsi="Times New Roman" w:hint="default"/>
      </w:rPr>
    </w:lvl>
    <w:lvl w:ilvl="5" w:tplc="163C685A" w:tentative="1">
      <w:start w:val="1"/>
      <w:numFmt w:val="bullet"/>
      <w:lvlText w:val="•"/>
      <w:lvlJc w:val="left"/>
      <w:pPr>
        <w:tabs>
          <w:tab w:val="num" w:pos="4320"/>
        </w:tabs>
        <w:ind w:left="4320" w:hanging="360"/>
      </w:pPr>
      <w:rPr>
        <w:rFonts w:ascii="Times New Roman" w:hAnsi="Times New Roman" w:hint="default"/>
      </w:rPr>
    </w:lvl>
    <w:lvl w:ilvl="6" w:tplc="C942781A" w:tentative="1">
      <w:start w:val="1"/>
      <w:numFmt w:val="bullet"/>
      <w:lvlText w:val="•"/>
      <w:lvlJc w:val="left"/>
      <w:pPr>
        <w:tabs>
          <w:tab w:val="num" w:pos="5040"/>
        </w:tabs>
        <w:ind w:left="5040" w:hanging="360"/>
      </w:pPr>
      <w:rPr>
        <w:rFonts w:ascii="Times New Roman" w:hAnsi="Times New Roman" w:hint="default"/>
      </w:rPr>
    </w:lvl>
    <w:lvl w:ilvl="7" w:tplc="DED4FB10" w:tentative="1">
      <w:start w:val="1"/>
      <w:numFmt w:val="bullet"/>
      <w:lvlText w:val="•"/>
      <w:lvlJc w:val="left"/>
      <w:pPr>
        <w:tabs>
          <w:tab w:val="num" w:pos="5760"/>
        </w:tabs>
        <w:ind w:left="5760" w:hanging="360"/>
      </w:pPr>
      <w:rPr>
        <w:rFonts w:ascii="Times New Roman" w:hAnsi="Times New Roman" w:hint="default"/>
      </w:rPr>
    </w:lvl>
    <w:lvl w:ilvl="8" w:tplc="3A2E64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8B5"/>
    <w:multiLevelType w:val="hybridMultilevel"/>
    <w:tmpl w:val="DCB83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0B6D47"/>
    <w:multiLevelType w:val="hybridMultilevel"/>
    <w:tmpl w:val="3CA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10E20"/>
    <w:multiLevelType w:val="hybridMultilevel"/>
    <w:tmpl w:val="38DA92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9D3855"/>
    <w:multiLevelType w:val="hybridMultilevel"/>
    <w:tmpl w:val="269C8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8"/>
  </w:num>
  <w:num w:numId="5">
    <w:abstractNumId w:val="0"/>
  </w:num>
  <w:num w:numId="6">
    <w:abstractNumId w:val="2"/>
  </w:num>
  <w:num w:numId="7">
    <w:abstractNumId w:val="11"/>
  </w:num>
  <w:num w:numId="8">
    <w:abstractNumId w:val="1"/>
  </w:num>
  <w:num w:numId="9">
    <w:abstractNumId w:val="5"/>
  </w:num>
  <w:num w:numId="10">
    <w:abstractNumId w:val="10"/>
  </w:num>
  <w:num w:numId="11">
    <w:abstractNumId w:val="9"/>
  </w:num>
  <w:num w:numId="12">
    <w:abstractNumId w:val="4"/>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A207DC-9467-46F0-B0C9-F1E6C50A0C75}"/>
    <w:docVar w:name="dgnword-eventsink" w:val="106416720"/>
  </w:docVars>
  <w:rsids>
    <w:rsidRoot w:val="0084391C"/>
    <w:rsid w:val="00092FF7"/>
    <w:rsid w:val="000D6083"/>
    <w:rsid w:val="001637AE"/>
    <w:rsid w:val="00271373"/>
    <w:rsid w:val="002D4F3B"/>
    <w:rsid w:val="002F40F7"/>
    <w:rsid w:val="00302DD1"/>
    <w:rsid w:val="00345429"/>
    <w:rsid w:val="003B46EE"/>
    <w:rsid w:val="004542C8"/>
    <w:rsid w:val="004D4A9A"/>
    <w:rsid w:val="004E3599"/>
    <w:rsid w:val="004E3E3C"/>
    <w:rsid w:val="0054231C"/>
    <w:rsid w:val="00545B9C"/>
    <w:rsid w:val="0055164A"/>
    <w:rsid w:val="00567576"/>
    <w:rsid w:val="005D4FDE"/>
    <w:rsid w:val="00641483"/>
    <w:rsid w:val="0072149D"/>
    <w:rsid w:val="00765DE2"/>
    <w:rsid w:val="00792EBC"/>
    <w:rsid w:val="007B3ED0"/>
    <w:rsid w:val="007D181A"/>
    <w:rsid w:val="0080209A"/>
    <w:rsid w:val="0084391C"/>
    <w:rsid w:val="008B0E43"/>
    <w:rsid w:val="008C0906"/>
    <w:rsid w:val="00943280"/>
    <w:rsid w:val="0095053C"/>
    <w:rsid w:val="00957CFC"/>
    <w:rsid w:val="00977BC4"/>
    <w:rsid w:val="00983F99"/>
    <w:rsid w:val="009C3564"/>
    <w:rsid w:val="009E6D33"/>
    <w:rsid w:val="00A4505B"/>
    <w:rsid w:val="00A544D0"/>
    <w:rsid w:val="00A718D3"/>
    <w:rsid w:val="00AA76D8"/>
    <w:rsid w:val="00AC0BAD"/>
    <w:rsid w:val="00AD587A"/>
    <w:rsid w:val="00AF04DB"/>
    <w:rsid w:val="00B74D33"/>
    <w:rsid w:val="00B81A15"/>
    <w:rsid w:val="00BD1AAC"/>
    <w:rsid w:val="00BD5443"/>
    <w:rsid w:val="00D05950"/>
    <w:rsid w:val="00D16707"/>
    <w:rsid w:val="00D2053A"/>
    <w:rsid w:val="00DF7004"/>
    <w:rsid w:val="00E3324F"/>
    <w:rsid w:val="00E76161"/>
    <w:rsid w:val="00F04E3A"/>
    <w:rsid w:val="00F31911"/>
    <w:rsid w:val="00F3462A"/>
    <w:rsid w:val="00F56E75"/>
    <w:rsid w:val="00F65E13"/>
    <w:rsid w:val="00F7028B"/>
    <w:rsid w:val="00F87BEA"/>
    <w:rsid w:val="2A94A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15:docId w15:val="{A65D759B-599B-40E6-958B-C901A3F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 w:type="character" w:customStyle="1" w:styleId="Heading2Char">
    <w:name w:val="Heading 2 Char"/>
    <w:basedOn w:val="DefaultParagraphFont"/>
    <w:link w:val="Heading2"/>
    <w:uiPriority w:val="9"/>
    <w:rsid w:val="00DF700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5972">
      <w:bodyDiv w:val="1"/>
      <w:marLeft w:val="0"/>
      <w:marRight w:val="0"/>
      <w:marTop w:val="0"/>
      <w:marBottom w:val="0"/>
      <w:divBdr>
        <w:top w:val="none" w:sz="0" w:space="0" w:color="auto"/>
        <w:left w:val="none" w:sz="0" w:space="0" w:color="auto"/>
        <w:bottom w:val="none" w:sz="0" w:space="0" w:color="auto"/>
        <w:right w:val="none" w:sz="0" w:space="0" w:color="auto"/>
      </w:divBdr>
    </w:div>
    <w:div w:id="353118726">
      <w:bodyDiv w:val="1"/>
      <w:marLeft w:val="0"/>
      <w:marRight w:val="0"/>
      <w:marTop w:val="0"/>
      <w:marBottom w:val="0"/>
      <w:divBdr>
        <w:top w:val="none" w:sz="0" w:space="0" w:color="auto"/>
        <w:left w:val="none" w:sz="0" w:space="0" w:color="auto"/>
        <w:bottom w:val="none" w:sz="0" w:space="0" w:color="auto"/>
        <w:right w:val="none" w:sz="0" w:space="0" w:color="auto"/>
      </w:divBdr>
    </w:div>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 w:id="2022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7E937-168E-44B1-BDCF-E3700865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Stohs, Erica J</cp:lastModifiedBy>
  <cp:revision>4</cp:revision>
  <dcterms:created xsi:type="dcterms:W3CDTF">2018-05-21T17:06:00Z</dcterms:created>
  <dcterms:modified xsi:type="dcterms:W3CDTF">2018-05-21T17:17:00Z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y fmtid="{D5CDD505-2E9C-101B-9397-08002B2CF9AE}" pid="3" name="Mendeley Document_1">
    <vt:lpwstr>True</vt:lpwstr>
  </property>
  <property fmtid="{D5CDD505-2E9C-101B-9397-08002B2CF9AE}" pid="4" name="Mendeley Unique User Id_1">
    <vt:lpwstr>d8c9c4f4-9e43-38eb-8837-f5f670285650</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