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982842" w14:textId="77777777" w:rsidR="009E6D33" w:rsidRPr="002F40F7" w:rsidRDefault="0084391C" w:rsidP="00A544D0">
      <w:pPr>
        <w:jc w:val="center"/>
        <w:rPr>
          <w:rFonts w:ascii="Arial" w:hAnsi="Arial" w:cs="Arial"/>
          <w:sz w:val="24"/>
          <w:szCs w:val="24"/>
        </w:rPr>
      </w:pPr>
      <w:r w:rsidRPr="002F40F7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 wp14:anchorId="7460AC14" wp14:editId="3BB68176">
                <wp:extent cx="304800" cy="304800"/>
                <wp:effectExtent l="0" t="0" r="0" b="0"/>
                <wp:docPr id="2" name="AutoShape 4" descr="UW TASP_LogoExploration_RGB_Colo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a="http://schemas.openxmlformats.org/drawingml/2006/main" xmlns:a14="http://schemas.microsoft.com/office/drawing/2010/main" xmlns:pic="http://schemas.openxmlformats.org/drawingml/2006/picture" xmlns:mo="http://schemas.microsoft.com/office/mac/office/2008/main" xmlns:mv="urn:schemas-microsoft-com:mac:vml" xmlns:w15="http://schemas.microsoft.com/office/word/2012/wordml">
            <w:pict>
              <v:rect id="AutoShape 4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lt="UW TASP_LogoExploration_RGB_Color.jpg" o:spid="_x0000_s102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">
                <o:lock v:ext="edit" aspectratio="t"/>
                <w10:anchorlock/>
              </v:rect>
            </w:pict>
          </mc:Fallback>
        </mc:AlternateContent>
      </w:r>
      <w:r w:rsidRPr="002F40F7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639171FE" wp14:editId="5DCF0D37">
            <wp:extent cx="2638425" cy="777151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638425" cy="7771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4D3DCC" w14:textId="2090F864" w:rsidR="00A544D0" w:rsidRPr="00A6072C" w:rsidRDefault="00331023" w:rsidP="00A544D0">
      <w:pPr>
        <w:rPr>
          <w:rFonts w:ascii="Arial" w:hAnsi="Arial" w:cs="Arial"/>
          <w:b/>
          <w:sz w:val="24"/>
          <w:szCs w:val="24"/>
          <w:u w:val="single"/>
        </w:rPr>
      </w:pPr>
      <w:r w:rsidRPr="00A6072C">
        <w:rPr>
          <w:rFonts w:ascii="Arial" w:hAnsi="Arial" w:cs="Arial"/>
          <w:b/>
          <w:sz w:val="24"/>
          <w:szCs w:val="24"/>
          <w:u w:val="single"/>
        </w:rPr>
        <w:t>Session Summary for 1 May</w:t>
      </w:r>
      <w:r w:rsidR="00D16707" w:rsidRPr="00A6072C">
        <w:rPr>
          <w:rFonts w:ascii="Arial" w:hAnsi="Arial" w:cs="Arial"/>
          <w:b/>
          <w:sz w:val="24"/>
          <w:szCs w:val="24"/>
          <w:u w:val="single"/>
        </w:rPr>
        <w:t xml:space="preserve"> 2018</w:t>
      </w:r>
    </w:p>
    <w:p w14:paraId="22CAE07B" w14:textId="3471D53A" w:rsidR="00983F99" w:rsidRPr="00A6072C" w:rsidRDefault="00A4505B" w:rsidP="004E3E3C">
      <w:pPr>
        <w:rPr>
          <w:rFonts w:ascii="Arial" w:hAnsi="Arial" w:cs="Arial"/>
          <w:sz w:val="24"/>
          <w:szCs w:val="24"/>
        </w:rPr>
      </w:pPr>
      <w:r w:rsidRPr="00A6072C">
        <w:rPr>
          <w:rFonts w:ascii="Arial" w:hAnsi="Arial" w:cs="Arial"/>
          <w:sz w:val="24"/>
          <w:szCs w:val="24"/>
        </w:rPr>
        <w:t xml:space="preserve">Didactic: </w:t>
      </w:r>
      <w:r w:rsidR="00331023" w:rsidRPr="00A6072C">
        <w:rPr>
          <w:rFonts w:ascii="Arial" w:hAnsi="Arial" w:cs="Arial"/>
          <w:sz w:val="24"/>
          <w:szCs w:val="24"/>
        </w:rPr>
        <w:t>Prolonged Infusion, Is it Worth it</w:t>
      </w:r>
      <w:proofErr w:type="gramStart"/>
      <w:r w:rsidR="00331023" w:rsidRPr="00A6072C">
        <w:rPr>
          <w:rFonts w:ascii="Arial" w:hAnsi="Arial" w:cs="Arial"/>
          <w:sz w:val="24"/>
          <w:szCs w:val="24"/>
        </w:rPr>
        <w:t>?</w:t>
      </w:r>
      <w:r w:rsidR="004E3E3C" w:rsidRPr="00A6072C">
        <w:rPr>
          <w:rFonts w:ascii="Arial" w:hAnsi="Arial" w:cs="Arial"/>
          <w:sz w:val="24"/>
          <w:szCs w:val="24"/>
        </w:rPr>
        <w:t>.</w:t>
      </w:r>
      <w:proofErr w:type="gramEnd"/>
      <w:r w:rsidR="004E3E3C" w:rsidRPr="00A6072C">
        <w:rPr>
          <w:rFonts w:ascii="Arial" w:hAnsi="Arial" w:cs="Arial"/>
          <w:sz w:val="24"/>
          <w:szCs w:val="24"/>
        </w:rPr>
        <w:t xml:space="preserve"> </w:t>
      </w:r>
    </w:p>
    <w:p w14:paraId="1410C7D3" w14:textId="3AB43325" w:rsidR="00331023" w:rsidRDefault="00331023" w:rsidP="00331023">
      <w:pPr>
        <w:pStyle w:val="ListParagraph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~50% of the TASP sites today reported using prolonged Pip/</w:t>
      </w:r>
      <w:proofErr w:type="spellStart"/>
      <w:r>
        <w:rPr>
          <w:rFonts w:ascii="Arial" w:hAnsi="Arial" w:cs="Arial"/>
          <w:sz w:val="24"/>
          <w:szCs w:val="24"/>
        </w:rPr>
        <w:t>Tazo</w:t>
      </w:r>
      <w:proofErr w:type="spellEnd"/>
      <w:r>
        <w:rPr>
          <w:rFonts w:ascii="Arial" w:hAnsi="Arial" w:cs="Arial"/>
          <w:sz w:val="24"/>
          <w:szCs w:val="24"/>
        </w:rPr>
        <w:t xml:space="preserve"> infusion. </w:t>
      </w:r>
    </w:p>
    <w:p w14:paraId="5DB31833" w14:textId="57E98BFD" w:rsidR="00331023" w:rsidRDefault="00331023" w:rsidP="00331023">
      <w:pPr>
        <w:pStyle w:val="ListParagraph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 UWMC and HMC prolonged infusion is ordered as a 4.5 gm IV infusion over 30 minutes followed by 3.375 gm IV Q8H beginning 4 hours after the initial loading dose. </w:t>
      </w:r>
    </w:p>
    <w:p w14:paraId="5B7CA597" w14:textId="558C4F63" w:rsidR="00331023" w:rsidRDefault="00331023" w:rsidP="00331023">
      <w:pPr>
        <w:pStyle w:val="ListParagraph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Means of achieving optimal activity is different for different classes of antibiotics based on their mechanism of action:</w:t>
      </w:r>
    </w:p>
    <w:p w14:paraId="0F76A45D" w14:textId="1BC48BF6" w:rsidR="00331023" w:rsidRDefault="00331023" w:rsidP="00331023">
      <w:pPr>
        <w:pStyle w:val="ListParagraph"/>
        <w:numPr>
          <w:ilvl w:val="1"/>
          <w:numId w:val="1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Aminoglycosides target peak concentration : MIC</w:t>
      </w:r>
    </w:p>
    <w:p w14:paraId="2F5CF234" w14:textId="74E05EBE" w:rsidR="00331023" w:rsidRDefault="00331023" w:rsidP="00331023">
      <w:pPr>
        <w:pStyle w:val="ListParagraph"/>
        <w:numPr>
          <w:ilvl w:val="1"/>
          <w:numId w:val="1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Vancomycin targets AUC : MIC</w:t>
      </w:r>
    </w:p>
    <w:p w14:paraId="5E3A1264" w14:textId="28DAF1CA" w:rsidR="00331023" w:rsidRDefault="00331023" w:rsidP="00331023">
      <w:pPr>
        <w:pStyle w:val="ListParagraph"/>
        <w:numPr>
          <w:ilvl w:val="1"/>
          <w:numId w:val="1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Beta-lactams target Time above the MIC.</w:t>
      </w:r>
    </w:p>
    <w:p w14:paraId="5E9F85C0" w14:textId="43A3E9DE" w:rsidR="00331023" w:rsidRDefault="00331023" w:rsidP="00331023">
      <w:pPr>
        <w:pStyle w:val="ListParagraph"/>
        <w:numPr>
          <w:ilvl w:val="2"/>
          <w:numId w:val="1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Goal with pip/</w:t>
      </w:r>
      <w:proofErr w:type="spellStart"/>
      <w:r>
        <w:rPr>
          <w:rFonts w:ascii="Arial" w:hAnsi="Arial" w:cs="Arial"/>
          <w:sz w:val="24"/>
          <w:szCs w:val="24"/>
        </w:rPr>
        <w:t>tazo</w:t>
      </w:r>
      <w:proofErr w:type="spellEnd"/>
      <w:r>
        <w:rPr>
          <w:rFonts w:ascii="Arial" w:hAnsi="Arial" w:cs="Arial"/>
          <w:sz w:val="24"/>
          <w:szCs w:val="24"/>
        </w:rPr>
        <w:t xml:space="preserve"> is 50% of dosing interval above the MIC.</w:t>
      </w:r>
    </w:p>
    <w:p w14:paraId="4590B9B0" w14:textId="64FB491E" w:rsidR="00BA763F" w:rsidRDefault="00BA763F" w:rsidP="00BA763F">
      <w:pPr>
        <w:pStyle w:val="ListParagraph"/>
        <w:numPr>
          <w:ilvl w:val="2"/>
          <w:numId w:val="1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Intermittent dosing of pip/</w:t>
      </w:r>
      <w:proofErr w:type="spellStart"/>
      <w:r>
        <w:rPr>
          <w:rFonts w:ascii="Arial" w:hAnsi="Arial" w:cs="Arial"/>
          <w:sz w:val="24"/>
          <w:szCs w:val="24"/>
        </w:rPr>
        <w:t>tazo</w:t>
      </w:r>
      <w:proofErr w:type="spellEnd"/>
      <w:r>
        <w:rPr>
          <w:rFonts w:ascii="Arial" w:hAnsi="Arial" w:cs="Arial"/>
          <w:sz w:val="24"/>
          <w:szCs w:val="24"/>
        </w:rPr>
        <w:t xml:space="preserve"> might not always achieve the goal of 50% of the dosing interval above the MIC. </w:t>
      </w:r>
      <w:r>
        <w:rPr>
          <w:noProof/>
        </w:rPr>
        <w:drawing>
          <wp:inline distT="0" distB="0" distL="0" distR="0" wp14:anchorId="1E7F9A8B" wp14:editId="20587FAB">
            <wp:extent cx="2662199" cy="1367790"/>
            <wp:effectExtent l="0" t="0" r="5080" b="381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662199" cy="1367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30F81D" w14:textId="7882080B" w:rsidR="00BA763F" w:rsidRDefault="00BA763F" w:rsidP="00BA763F">
      <w:pPr>
        <w:pStyle w:val="ListParagraph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Lodise</w:t>
      </w:r>
      <w:proofErr w:type="spellEnd"/>
      <w:r>
        <w:rPr>
          <w:rFonts w:ascii="Arial" w:hAnsi="Arial" w:cs="Arial"/>
          <w:sz w:val="24"/>
          <w:szCs w:val="24"/>
        </w:rPr>
        <w:t xml:space="preserve"> et al. Piperacillin-</w:t>
      </w:r>
      <w:proofErr w:type="spellStart"/>
      <w:r>
        <w:rPr>
          <w:rFonts w:ascii="Arial" w:hAnsi="Arial" w:cs="Arial"/>
          <w:sz w:val="24"/>
          <w:szCs w:val="24"/>
        </w:rPr>
        <w:t>Tazobactam</w:t>
      </w:r>
      <w:proofErr w:type="spellEnd"/>
      <w:r>
        <w:rPr>
          <w:rFonts w:ascii="Arial" w:hAnsi="Arial" w:cs="Arial"/>
          <w:sz w:val="24"/>
          <w:szCs w:val="24"/>
        </w:rPr>
        <w:t xml:space="preserve"> for Pseudomonas aeruginosa Infection: Clinical Implications of an Extended-Infusion Dosing Strategy. CID. 2007. </w:t>
      </w:r>
    </w:p>
    <w:p w14:paraId="23B882E3" w14:textId="2E6D75EB" w:rsidR="00BA763F" w:rsidRDefault="00BA763F" w:rsidP="00BA763F">
      <w:pPr>
        <w:pStyle w:val="ListParagraph"/>
        <w:numPr>
          <w:ilvl w:val="1"/>
          <w:numId w:val="1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 day mortality and LOS were both reduced with use of prolonged infusion of pip/</w:t>
      </w:r>
      <w:proofErr w:type="spellStart"/>
      <w:r>
        <w:rPr>
          <w:rFonts w:ascii="Arial" w:hAnsi="Arial" w:cs="Arial"/>
          <w:sz w:val="24"/>
          <w:szCs w:val="24"/>
        </w:rPr>
        <w:t>tazo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</w:p>
    <w:p w14:paraId="6F4756B8" w14:textId="77777777" w:rsidR="00BA763F" w:rsidRDefault="00BA763F" w:rsidP="00BA763F">
      <w:pPr>
        <w:pStyle w:val="ListParagraph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Falagas</w:t>
      </w:r>
      <w:proofErr w:type="spellEnd"/>
      <w:r>
        <w:rPr>
          <w:rFonts w:ascii="Arial" w:hAnsi="Arial" w:cs="Arial"/>
          <w:sz w:val="24"/>
          <w:szCs w:val="24"/>
        </w:rPr>
        <w:t xml:space="preserve">, ME; et al. Clinical Outcomes with Extended or Continuous Versus Short-term Intravenous Infusion of </w:t>
      </w:r>
      <w:proofErr w:type="spellStart"/>
      <w:r>
        <w:rPr>
          <w:rFonts w:ascii="Arial" w:hAnsi="Arial" w:cs="Arial"/>
          <w:sz w:val="24"/>
          <w:szCs w:val="24"/>
        </w:rPr>
        <w:t>Carbapenems</w:t>
      </w:r>
      <w:proofErr w:type="spellEnd"/>
      <w:r>
        <w:rPr>
          <w:rFonts w:ascii="Arial" w:hAnsi="Arial" w:cs="Arial"/>
          <w:sz w:val="24"/>
          <w:szCs w:val="24"/>
        </w:rPr>
        <w:t xml:space="preserve"> and Piperacillin/</w:t>
      </w:r>
      <w:proofErr w:type="spellStart"/>
      <w:r>
        <w:rPr>
          <w:rFonts w:ascii="Arial" w:hAnsi="Arial" w:cs="Arial"/>
          <w:sz w:val="24"/>
          <w:szCs w:val="24"/>
        </w:rPr>
        <w:t>Tazobactam</w:t>
      </w:r>
      <w:proofErr w:type="spellEnd"/>
      <w:r>
        <w:rPr>
          <w:rFonts w:ascii="Arial" w:hAnsi="Arial" w:cs="Arial"/>
          <w:sz w:val="24"/>
          <w:szCs w:val="24"/>
        </w:rPr>
        <w:t>: A Systematic Review and Meta-analysis. CID. 2013.</w:t>
      </w:r>
    </w:p>
    <w:p w14:paraId="35D4B360" w14:textId="77777777" w:rsidR="00BA763F" w:rsidRDefault="00BA763F" w:rsidP="00BA763F">
      <w:pPr>
        <w:pStyle w:val="ListParagraph"/>
        <w:numPr>
          <w:ilvl w:val="1"/>
          <w:numId w:val="1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meta-analysis also showing reduced mortality amongst </w:t>
      </w:r>
      <w:proofErr w:type="gramStart"/>
      <w:r>
        <w:rPr>
          <w:rFonts w:ascii="Arial" w:hAnsi="Arial" w:cs="Arial"/>
          <w:sz w:val="24"/>
          <w:szCs w:val="24"/>
        </w:rPr>
        <w:t>those receiving prolonged pip/</w:t>
      </w:r>
      <w:proofErr w:type="spellStart"/>
      <w:r>
        <w:rPr>
          <w:rFonts w:ascii="Arial" w:hAnsi="Arial" w:cs="Arial"/>
          <w:sz w:val="24"/>
          <w:szCs w:val="24"/>
        </w:rPr>
        <w:t>tazo</w:t>
      </w:r>
      <w:proofErr w:type="spellEnd"/>
      <w:r>
        <w:rPr>
          <w:rFonts w:ascii="Arial" w:hAnsi="Arial" w:cs="Arial"/>
          <w:sz w:val="24"/>
          <w:szCs w:val="24"/>
        </w:rPr>
        <w:t xml:space="preserve"> infusion</w:t>
      </w:r>
      <w:proofErr w:type="gramEnd"/>
      <w:r>
        <w:rPr>
          <w:rFonts w:ascii="Arial" w:hAnsi="Arial" w:cs="Arial"/>
          <w:sz w:val="24"/>
          <w:szCs w:val="24"/>
        </w:rPr>
        <w:t xml:space="preserve">. </w:t>
      </w:r>
    </w:p>
    <w:p w14:paraId="5884107F" w14:textId="77777777" w:rsidR="00BA763F" w:rsidRDefault="00BA763F" w:rsidP="00BA763F">
      <w:pPr>
        <w:pStyle w:val="ListParagraph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Who really benefits from the prolonged infusion of pip/</w:t>
      </w:r>
      <w:proofErr w:type="spellStart"/>
      <w:r>
        <w:rPr>
          <w:rFonts w:ascii="Arial" w:hAnsi="Arial" w:cs="Arial"/>
          <w:sz w:val="24"/>
          <w:szCs w:val="24"/>
        </w:rPr>
        <w:t>tazo</w:t>
      </w:r>
      <w:proofErr w:type="spellEnd"/>
      <w:r>
        <w:rPr>
          <w:rFonts w:ascii="Arial" w:hAnsi="Arial" w:cs="Arial"/>
          <w:sz w:val="24"/>
          <w:szCs w:val="24"/>
        </w:rPr>
        <w:t>?</w:t>
      </w:r>
    </w:p>
    <w:p w14:paraId="735A8162" w14:textId="77777777" w:rsidR="00BA763F" w:rsidRDefault="00BA763F" w:rsidP="00BA763F">
      <w:pPr>
        <w:pStyle w:val="ListParagraph"/>
        <w:numPr>
          <w:ilvl w:val="1"/>
          <w:numId w:val="1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Critically ill patients with risk for resistant GNR:</w:t>
      </w:r>
    </w:p>
    <w:p w14:paraId="2E7E5AD4" w14:textId="77777777" w:rsidR="00BA763F" w:rsidRDefault="00BA763F" w:rsidP="00BA763F">
      <w:pPr>
        <w:pStyle w:val="ListParagraph"/>
        <w:numPr>
          <w:ilvl w:val="2"/>
          <w:numId w:val="1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Immunosuppressed. </w:t>
      </w:r>
    </w:p>
    <w:p w14:paraId="07C8C6E4" w14:textId="77777777" w:rsidR="00BA763F" w:rsidRDefault="00BA763F" w:rsidP="00BA763F">
      <w:pPr>
        <w:pStyle w:val="ListParagraph"/>
        <w:numPr>
          <w:ilvl w:val="2"/>
          <w:numId w:val="1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Significant healthcare exposure; HD, recurrent hospitalizations. </w:t>
      </w:r>
    </w:p>
    <w:p w14:paraId="261D8E68" w14:textId="77777777" w:rsidR="00BA763F" w:rsidRDefault="00BA763F" w:rsidP="00BA763F">
      <w:pPr>
        <w:pStyle w:val="ListParagraph"/>
        <w:numPr>
          <w:ilvl w:val="2"/>
          <w:numId w:val="1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Recent antibiotics. </w:t>
      </w:r>
    </w:p>
    <w:p w14:paraId="558083A6" w14:textId="47FB31AB" w:rsidR="00BA763F" w:rsidRDefault="00BA763F" w:rsidP="00BA763F">
      <w:pPr>
        <w:pStyle w:val="ListParagraph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Data shows a mortality benefit to patients with APACHE scores &gt; or = to 17. </w:t>
      </w:r>
      <w:r w:rsidR="00EE012F">
        <w:rPr>
          <w:rFonts w:ascii="Arial" w:hAnsi="Arial" w:cs="Arial"/>
          <w:sz w:val="24"/>
          <w:szCs w:val="24"/>
        </w:rPr>
        <w:t xml:space="preserve">No difference was noted in LOS or mortality in patients with </w:t>
      </w:r>
      <w:proofErr w:type="gramStart"/>
      <w:r w:rsidR="00EE012F">
        <w:rPr>
          <w:rFonts w:ascii="Arial" w:hAnsi="Arial" w:cs="Arial"/>
          <w:sz w:val="24"/>
          <w:szCs w:val="24"/>
        </w:rPr>
        <w:t>APACHE ,</w:t>
      </w:r>
      <w:proofErr w:type="gramEnd"/>
      <w:r w:rsidR="00EE012F">
        <w:rPr>
          <w:rFonts w:ascii="Arial" w:hAnsi="Arial" w:cs="Arial"/>
          <w:sz w:val="24"/>
          <w:szCs w:val="24"/>
        </w:rPr>
        <w:t xml:space="preserve"> 17. </w:t>
      </w:r>
    </w:p>
    <w:p w14:paraId="59D8DD28" w14:textId="77777777" w:rsidR="00BA763F" w:rsidRDefault="00BA763F" w:rsidP="00BA763F">
      <w:pPr>
        <w:pStyle w:val="ListParagraph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Significance of cost savings:</w:t>
      </w:r>
    </w:p>
    <w:p w14:paraId="47269DBF" w14:textId="77777777" w:rsidR="00BA763F" w:rsidRDefault="00BA763F" w:rsidP="00BA763F">
      <w:pPr>
        <w:pStyle w:val="ListParagraph"/>
        <w:numPr>
          <w:ilvl w:val="1"/>
          <w:numId w:val="1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UWMC/HMC saved $318,901 in 2012 with use of prolonged </w:t>
      </w:r>
      <w:proofErr w:type="spellStart"/>
      <w:r>
        <w:rPr>
          <w:rFonts w:ascii="Arial" w:hAnsi="Arial" w:cs="Arial"/>
          <w:sz w:val="24"/>
          <w:szCs w:val="24"/>
        </w:rPr>
        <w:t>infnusion</w:t>
      </w:r>
      <w:proofErr w:type="spellEnd"/>
      <w:r>
        <w:rPr>
          <w:rFonts w:ascii="Arial" w:hAnsi="Arial" w:cs="Arial"/>
          <w:sz w:val="24"/>
          <w:szCs w:val="24"/>
        </w:rPr>
        <w:t xml:space="preserve"> of pip/</w:t>
      </w:r>
      <w:proofErr w:type="spellStart"/>
      <w:r>
        <w:rPr>
          <w:rFonts w:ascii="Arial" w:hAnsi="Arial" w:cs="Arial"/>
          <w:sz w:val="24"/>
          <w:szCs w:val="24"/>
        </w:rPr>
        <w:t>tazop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</w:p>
    <w:p w14:paraId="2F7B7613" w14:textId="236ADBD7" w:rsidR="00BA763F" w:rsidRDefault="00BA763F" w:rsidP="00BA763F">
      <w:pPr>
        <w:pStyle w:val="ListParagraph"/>
        <w:numPr>
          <w:ilvl w:val="1"/>
          <w:numId w:val="1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Valley medical center cost estimate was for $12,000 savings per year and they have not converted to prolonged infusions of pip/</w:t>
      </w:r>
      <w:proofErr w:type="spellStart"/>
      <w:r>
        <w:rPr>
          <w:rFonts w:ascii="Arial" w:hAnsi="Arial" w:cs="Arial"/>
          <w:sz w:val="24"/>
          <w:szCs w:val="24"/>
        </w:rPr>
        <w:t>tazo</w:t>
      </w:r>
      <w:proofErr w:type="spellEnd"/>
      <w:r>
        <w:rPr>
          <w:rFonts w:ascii="Arial" w:hAnsi="Arial" w:cs="Arial"/>
          <w:sz w:val="24"/>
          <w:szCs w:val="24"/>
        </w:rPr>
        <w:t xml:space="preserve"> as they have low rates of resistant GNRs.  </w:t>
      </w:r>
    </w:p>
    <w:p w14:paraId="2493E84F" w14:textId="77777777" w:rsidR="00D83256" w:rsidRDefault="00D83256" w:rsidP="00A6072C">
      <w:pPr>
        <w:pStyle w:val="ListParagraph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Excellent</w:t>
      </w:r>
      <w:r w:rsidR="00A6072C">
        <w:rPr>
          <w:rFonts w:ascii="Arial" w:hAnsi="Arial" w:cs="Arial"/>
          <w:sz w:val="24"/>
          <w:szCs w:val="24"/>
        </w:rPr>
        <w:t xml:space="preserve"> question</w:t>
      </w:r>
      <w:r>
        <w:rPr>
          <w:rFonts w:ascii="Arial" w:hAnsi="Arial" w:cs="Arial"/>
          <w:sz w:val="24"/>
          <w:szCs w:val="24"/>
        </w:rPr>
        <w:t>s during the session!</w:t>
      </w:r>
    </w:p>
    <w:p w14:paraId="4CE9EADE" w14:textId="42A72C58" w:rsidR="00A6072C" w:rsidRDefault="00D83256" w:rsidP="00D83256">
      <w:pPr>
        <w:pStyle w:val="ListParagraph"/>
        <w:numPr>
          <w:ilvl w:val="1"/>
          <w:numId w:val="1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What is the risk of </w:t>
      </w:r>
      <w:r w:rsidR="00A6072C">
        <w:rPr>
          <w:rFonts w:ascii="Arial" w:hAnsi="Arial" w:cs="Arial"/>
          <w:sz w:val="24"/>
          <w:szCs w:val="24"/>
        </w:rPr>
        <w:t>nephrotoxicity with intermittent versus prolonged infusions of pip/</w:t>
      </w:r>
      <w:proofErr w:type="spellStart"/>
      <w:r w:rsidR="00A6072C">
        <w:rPr>
          <w:rFonts w:ascii="Arial" w:hAnsi="Arial" w:cs="Arial"/>
          <w:sz w:val="24"/>
          <w:szCs w:val="24"/>
        </w:rPr>
        <w:t>tazo</w:t>
      </w:r>
      <w:proofErr w:type="spellEnd"/>
      <w:r w:rsidR="00A6072C">
        <w:rPr>
          <w:rFonts w:ascii="Arial" w:hAnsi="Arial" w:cs="Arial"/>
          <w:sz w:val="24"/>
          <w:szCs w:val="24"/>
        </w:rPr>
        <w:t>:</w:t>
      </w:r>
    </w:p>
    <w:p w14:paraId="44E43072" w14:textId="31985CCF" w:rsidR="00A6072C" w:rsidRDefault="00A6072C" w:rsidP="00D83256">
      <w:pPr>
        <w:pStyle w:val="ListParagraph"/>
        <w:numPr>
          <w:ilvl w:val="2"/>
          <w:numId w:val="1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Mousavi, M; et al. Comparisons of Rates of Nephrotoxicity Associated with Vancomycin in combinations with piperacillin-</w:t>
      </w:r>
      <w:proofErr w:type="spellStart"/>
      <w:r>
        <w:rPr>
          <w:rFonts w:ascii="Arial" w:hAnsi="Arial" w:cs="Arial"/>
          <w:sz w:val="24"/>
          <w:szCs w:val="24"/>
        </w:rPr>
        <w:t>tazobactam</w:t>
      </w:r>
      <w:proofErr w:type="spellEnd"/>
      <w:r>
        <w:rPr>
          <w:rFonts w:ascii="Arial" w:hAnsi="Arial" w:cs="Arial"/>
          <w:sz w:val="24"/>
          <w:szCs w:val="24"/>
        </w:rPr>
        <w:t xml:space="preserve"> administered as extended versus standard infusions. Pharmacotherapy. 2017. 37(3).</w:t>
      </w:r>
    </w:p>
    <w:p w14:paraId="4989413B" w14:textId="0DC9EEA0" w:rsidR="00A6072C" w:rsidRDefault="00A6072C" w:rsidP="00D83256">
      <w:pPr>
        <w:pStyle w:val="ListParagraph"/>
        <w:numPr>
          <w:ilvl w:val="3"/>
          <w:numId w:val="1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Similar rates of nephrotoxicity were seen between patients who received vancomycin in combination with standard or prolonged infusion of pip/</w:t>
      </w:r>
      <w:proofErr w:type="spellStart"/>
      <w:r>
        <w:rPr>
          <w:rFonts w:ascii="Arial" w:hAnsi="Arial" w:cs="Arial"/>
          <w:sz w:val="24"/>
          <w:szCs w:val="24"/>
        </w:rPr>
        <w:t>tazo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</w:p>
    <w:p w14:paraId="16D43A4F" w14:textId="479E132C" w:rsidR="00A6072C" w:rsidRDefault="00A6072C" w:rsidP="00D83256">
      <w:pPr>
        <w:pStyle w:val="ListParagraph"/>
        <w:numPr>
          <w:ilvl w:val="2"/>
          <w:numId w:val="14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Cotner</w:t>
      </w:r>
      <w:proofErr w:type="spellEnd"/>
      <w:r>
        <w:rPr>
          <w:rFonts w:ascii="Arial" w:hAnsi="Arial" w:cs="Arial"/>
          <w:sz w:val="24"/>
          <w:szCs w:val="24"/>
        </w:rPr>
        <w:t xml:space="preserve">, SE; et al. Influence of beta-lactam infusion strategy on AKI. Antimicrobial Agents and Chemotherapy. 2017. </w:t>
      </w:r>
    </w:p>
    <w:p w14:paraId="453ACB85" w14:textId="3744B082" w:rsidR="00BA763F" w:rsidRDefault="00A6072C" w:rsidP="00D83256">
      <w:pPr>
        <w:pStyle w:val="ListParagraph"/>
        <w:numPr>
          <w:ilvl w:val="3"/>
          <w:numId w:val="1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Prolonged versus intermittent infusions of pip/</w:t>
      </w:r>
      <w:proofErr w:type="spellStart"/>
      <w:r>
        <w:rPr>
          <w:rFonts w:ascii="Arial" w:hAnsi="Arial" w:cs="Arial"/>
          <w:sz w:val="24"/>
          <w:szCs w:val="24"/>
        </w:rPr>
        <w:t>tazo</w:t>
      </w:r>
      <w:proofErr w:type="spellEnd"/>
      <w:r>
        <w:rPr>
          <w:rFonts w:ascii="Arial" w:hAnsi="Arial" w:cs="Arial"/>
          <w:sz w:val="24"/>
          <w:szCs w:val="24"/>
        </w:rPr>
        <w:t xml:space="preserve"> showed no difference in rates of AKI. </w:t>
      </w:r>
    </w:p>
    <w:p w14:paraId="54E5AF64" w14:textId="62D658C6" w:rsidR="00D83256" w:rsidRDefault="00D83256" w:rsidP="00D83256">
      <w:pPr>
        <w:pStyle w:val="ListParagraph"/>
        <w:numPr>
          <w:ilvl w:val="1"/>
          <w:numId w:val="1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Are there issues with transitioning from inpatient prolonged infusion to OPA?</w:t>
      </w:r>
    </w:p>
    <w:p w14:paraId="0A86722A" w14:textId="7986B1F8" w:rsidR="00D83256" w:rsidRDefault="00D83256" w:rsidP="00D83256">
      <w:pPr>
        <w:pStyle w:val="ListParagraph"/>
        <w:numPr>
          <w:ilvl w:val="2"/>
          <w:numId w:val="1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It can be helpful to clearly communicate with the OPAT provider (SNF or clinic) to determine options. If outpatient prolonged infusion is not available then transition to other </w:t>
      </w:r>
      <w:proofErr w:type="spellStart"/>
      <w:r>
        <w:rPr>
          <w:rFonts w:ascii="Arial" w:hAnsi="Arial" w:cs="Arial"/>
          <w:sz w:val="24"/>
          <w:szCs w:val="24"/>
        </w:rPr>
        <w:t>abx</w:t>
      </w:r>
      <w:proofErr w:type="spellEnd"/>
      <w:r>
        <w:rPr>
          <w:rFonts w:ascii="Arial" w:hAnsi="Arial" w:cs="Arial"/>
          <w:sz w:val="24"/>
          <w:szCs w:val="24"/>
        </w:rPr>
        <w:t xml:space="preserve"> prior to discharging; i.e. intermittent pip/</w:t>
      </w:r>
      <w:proofErr w:type="spellStart"/>
      <w:r>
        <w:rPr>
          <w:rFonts w:ascii="Arial" w:hAnsi="Arial" w:cs="Arial"/>
          <w:sz w:val="24"/>
          <w:szCs w:val="24"/>
        </w:rPr>
        <w:t>tazo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cefepime</w:t>
      </w:r>
      <w:proofErr w:type="spellEnd"/>
      <w:r>
        <w:rPr>
          <w:rFonts w:ascii="Arial" w:hAnsi="Arial" w:cs="Arial"/>
          <w:sz w:val="24"/>
          <w:szCs w:val="24"/>
        </w:rPr>
        <w:t xml:space="preserve">, etc. </w:t>
      </w:r>
    </w:p>
    <w:p w14:paraId="3A982315" w14:textId="63676262" w:rsidR="00D83256" w:rsidRDefault="00D83256" w:rsidP="00D83256">
      <w:pPr>
        <w:pStyle w:val="ListParagraph"/>
        <w:numPr>
          <w:ilvl w:val="1"/>
          <w:numId w:val="1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Why does the extended infusion start 4h after the loading dose?</w:t>
      </w:r>
    </w:p>
    <w:p w14:paraId="7D66DB3C" w14:textId="749E1C44" w:rsidR="00D83256" w:rsidRPr="00D83256" w:rsidRDefault="00D83256" w:rsidP="00D83256">
      <w:pPr>
        <w:pStyle w:val="ListParagraph"/>
        <w:numPr>
          <w:ilvl w:val="2"/>
          <w:numId w:val="1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4h was selected for convenience and practical purposes. </w:t>
      </w:r>
    </w:p>
    <w:p w14:paraId="268447BE" w14:textId="777E9D2A" w:rsidR="00DF7004" w:rsidRPr="00A6072C" w:rsidRDefault="00DF7004" w:rsidP="00331023">
      <w:pPr>
        <w:rPr>
          <w:rFonts w:ascii="Arial" w:hAnsi="Arial" w:cs="Arial"/>
          <w:b/>
          <w:sz w:val="24"/>
          <w:szCs w:val="24"/>
          <w:u w:val="single"/>
        </w:rPr>
      </w:pPr>
      <w:r w:rsidRPr="00A6072C">
        <w:rPr>
          <w:rFonts w:ascii="Arial" w:hAnsi="Arial" w:cs="Arial"/>
          <w:b/>
          <w:sz w:val="24"/>
          <w:szCs w:val="24"/>
          <w:u w:val="single"/>
        </w:rPr>
        <w:t>References:</w:t>
      </w:r>
      <w:bookmarkStart w:id="0" w:name="_GoBack"/>
      <w:bookmarkEnd w:id="0"/>
    </w:p>
    <w:p w14:paraId="69002AB2" w14:textId="77777777" w:rsidR="00EE012F" w:rsidRDefault="00EE012F" w:rsidP="00EE012F">
      <w:pPr>
        <w:rPr>
          <w:rFonts w:ascii="Arial" w:hAnsi="Arial" w:cs="Arial"/>
          <w:sz w:val="24"/>
          <w:szCs w:val="24"/>
        </w:rPr>
      </w:pPr>
      <w:proofErr w:type="spellStart"/>
      <w:r w:rsidRPr="00EE012F">
        <w:rPr>
          <w:rFonts w:ascii="Arial" w:hAnsi="Arial" w:cs="Arial"/>
          <w:sz w:val="24"/>
          <w:szCs w:val="24"/>
        </w:rPr>
        <w:t>Falagas</w:t>
      </w:r>
      <w:proofErr w:type="spellEnd"/>
      <w:r w:rsidRPr="00EE012F">
        <w:rPr>
          <w:rFonts w:ascii="Arial" w:hAnsi="Arial" w:cs="Arial"/>
          <w:sz w:val="24"/>
          <w:szCs w:val="24"/>
        </w:rPr>
        <w:t xml:space="preserve">, ME; et al. Clinical Outcomes with Extended or Continuous Versus Short-term Intravenous Infusion of </w:t>
      </w:r>
      <w:proofErr w:type="spellStart"/>
      <w:r w:rsidRPr="00EE012F">
        <w:rPr>
          <w:rFonts w:ascii="Arial" w:hAnsi="Arial" w:cs="Arial"/>
          <w:sz w:val="24"/>
          <w:szCs w:val="24"/>
        </w:rPr>
        <w:t>Carbapenems</w:t>
      </w:r>
      <w:proofErr w:type="spellEnd"/>
      <w:r w:rsidRPr="00EE012F">
        <w:rPr>
          <w:rFonts w:ascii="Arial" w:hAnsi="Arial" w:cs="Arial"/>
          <w:sz w:val="24"/>
          <w:szCs w:val="24"/>
        </w:rPr>
        <w:t xml:space="preserve"> and Piperacillin/</w:t>
      </w:r>
      <w:proofErr w:type="spellStart"/>
      <w:r w:rsidRPr="00EE012F">
        <w:rPr>
          <w:rFonts w:ascii="Arial" w:hAnsi="Arial" w:cs="Arial"/>
          <w:sz w:val="24"/>
          <w:szCs w:val="24"/>
        </w:rPr>
        <w:t>Tazobactam</w:t>
      </w:r>
      <w:proofErr w:type="spellEnd"/>
      <w:r w:rsidRPr="00EE012F">
        <w:rPr>
          <w:rFonts w:ascii="Arial" w:hAnsi="Arial" w:cs="Arial"/>
          <w:sz w:val="24"/>
          <w:szCs w:val="24"/>
        </w:rPr>
        <w:t xml:space="preserve">: A Systematic Review and Meta-analysis. </w:t>
      </w:r>
      <w:proofErr w:type="gramStart"/>
      <w:r w:rsidRPr="00EE012F">
        <w:rPr>
          <w:rFonts w:ascii="Arial" w:hAnsi="Arial" w:cs="Arial"/>
          <w:sz w:val="24"/>
          <w:szCs w:val="24"/>
        </w:rPr>
        <w:t>CID. 2013.</w:t>
      </w:r>
      <w:proofErr w:type="gramEnd"/>
    </w:p>
    <w:p w14:paraId="2B8AE44F" w14:textId="77777777" w:rsidR="00EE012F" w:rsidRDefault="00EE012F" w:rsidP="00EE012F">
      <w:pPr>
        <w:rPr>
          <w:rFonts w:ascii="Arial" w:hAnsi="Arial" w:cs="Arial"/>
          <w:sz w:val="24"/>
          <w:szCs w:val="24"/>
        </w:rPr>
      </w:pPr>
      <w:proofErr w:type="spellStart"/>
      <w:r w:rsidRPr="00EE012F">
        <w:rPr>
          <w:rFonts w:ascii="Arial" w:hAnsi="Arial" w:cs="Arial"/>
          <w:sz w:val="24"/>
          <w:szCs w:val="24"/>
        </w:rPr>
        <w:t>Lodise</w:t>
      </w:r>
      <w:proofErr w:type="spellEnd"/>
      <w:r w:rsidRPr="00EE012F">
        <w:rPr>
          <w:rFonts w:ascii="Arial" w:hAnsi="Arial" w:cs="Arial"/>
          <w:sz w:val="24"/>
          <w:szCs w:val="24"/>
        </w:rPr>
        <w:t xml:space="preserve"> et al. Piperacillin-</w:t>
      </w:r>
      <w:proofErr w:type="spellStart"/>
      <w:r w:rsidRPr="00EE012F">
        <w:rPr>
          <w:rFonts w:ascii="Arial" w:hAnsi="Arial" w:cs="Arial"/>
          <w:sz w:val="24"/>
          <w:szCs w:val="24"/>
        </w:rPr>
        <w:t>Tazobactam</w:t>
      </w:r>
      <w:proofErr w:type="spellEnd"/>
      <w:r w:rsidRPr="00EE012F">
        <w:rPr>
          <w:rFonts w:ascii="Arial" w:hAnsi="Arial" w:cs="Arial"/>
          <w:sz w:val="24"/>
          <w:szCs w:val="24"/>
        </w:rPr>
        <w:t xml:space="preserve"> for Pseudomonas aeruginosa Infection: Clinical Implications of an Extended-Infusion Dosing Strategy. </w:t>
      </w:r>
      <w:proofErr w:type="gramStart"/>
      <w:r w:rsidRPr="00EE012F">
        <w:rPr>
          <w:rFonts w:ascii="Arial" w:hAnsi="Arial" w:cs="Arial"/>
          <w:sz w:val="24"/>
          <w:szCs w:val="24"/>
        </w:rPr>
        <w:t>CID. 2007.</w:t>
      </w:r>
      <w:proofErr w:type="gramEnd"/>
      <w:r w:rsidRPr="00EE012F">
        <w:rPr>
          <w:rFonts w:ascii="Arial" w:hAnsi="Arial" w:cs="Arial"/>
          <w:sz w:val="24"/>
          <w:szCs w:val="24"/>
        </w:rPr>
        <w:t xml:space="preserve"> </w:t>
      </w:r>
    </w:p>
    <w:p w14:paraId="18E6B952" w14:textId="77777777" w:rsidR="00A6072C" w:rsidRDefault="00A6072C" w:rsidP="00A6072C">
      <w:pPr>
        <w:rPr>
          <w:rFonts w:ascii="Arial" w:hAnsi="Arial" w:cs="Arial"/>
          <w:sz w:val="24"/>
          <w:szCs w:val="24"/>
        </w:rPr>
      </w:pPr>
      <w:proofErr w:type="gramStart"/>
      <w:r w:rsidRPr="00A6072C">
        <w:rPr>
          <w:rFonts w:ascii="Arial" w:hAnsi="Arial" w:cs="Arial"/>
          <w:sz w:val="24"/>
          <w:szCs w:val="24"/>
        </w:rPr>
        <w:t>Mousavi, M; et al. Comparisons of Rates of Nephrotoxicity Associated with Vancomycin in combinations with piperacillin-</w:t>
      </w:r>
      <w:proofErr w:type="spellStart"/>
      <w:r w:rsidRPr="00A6072C">
        <w:rPr>
          <w:rFonts w:ascii="Arial" w:hAnsi="Arial" w:cs="Arial"/>
          <w:sz w:val="24"/>
          <w:szCs w:val="24"/>
        </w:rPr>
        <w:t>tazobactam</w:t>
      </w:r>
      <w:proofErr w:type="spellEnd"/>
      <w:r w:rsidRPr="00A6072C">
        <w:rPr>
          <w:rFonts w:ascii="Arial" w:hAnsi="Arial" w:cs="Arial"/>
          <w:sz w:val="24"/>
          <w:szCs w:val="24"/>
        </w:rPr>
        <w:t xml:space="preserve"> administered as extended versus standard infusions.</w:t>
      </w:r>
      <w:proofErr w:type="gramEnd"/>
      <w:r w:rsidRPr="00A6072C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A6072C">
        <w:rPr>
          <w:rFonts w:ascii="Arial" w:hAnsi="Arial" w:cs="Arial"/>
          <w:sz w:val="24"/>
          <w:szCs w:val="24"/>
        </w:rPr>
        <w:t>Pharmacotherapy.</w:t>
      </w:r>
      <w:proofErr w:type="gramEnd"/>
      <w:r w:rsidRPr="00A6072C">
        <w:rPr>
          <w:rFonts w:ascii="Arial" w:hAnsi="Arial" w:cs="Arial"/>
          <w:sz w:val="24"/>
          <w:szCs w:val="24"/>
        </w:rPr>
        <w:t xml:space="preserve"> 2017. 37(3).</w:t>
      </w:r>
    </w:p>
    <w:p w14:paraId="5662D10D" w14:textId="77777777" w:rsidR="00A6072C" w:rsidRPr="00A6072C" w:rsidRDefault="00A6072C" w:rsidP="00A6072C">
      <w:pPr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A6072C">
        <w:rPr>
          <w:rFonts w:ascii="Arial" w:hAnsi="Arial" w:cs="Arial"/>
          <w:sz w:val="24"/>
          <w:szCs w:val="24"/>
        </w:rPr>
        <w:lastRenderedPageBreak/>
        <w:t>Cotner</w:t>
      </w:r>
      <w:proofErr w:type="spellEnd"/>
      <w:r w:rsidRPr="00A6072C">
        <w:rPr>
          <w:rFonts w:ascii="Arial" w:hAnsi="Arial" w:cs="Arial"/>
          <w:sz w:val="24"/>
          <w:szCs w:val="24"/>
        </w:rPr>
        <w:t>, SE; et al. Influence of beta-lactam infusion strategy on AKI.</w:t>
      </w:r>
      <w:proofErr w:type="gramEnd"/>
      <w:r w:rsidRPr="00A6072C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A6072C">
        <w:rPr>
          <w:rFonts w:ascii="Arial" w:hAnsi="Arial" w:cs="Arial"/>
          <w:sz w:val="24"/>
          <w:szCs w:val="24"/>
        </w:rPr>
        <w:t>Antimicrobial Agents and Chemotherapy.</w:t>
      </w:r>
      <w:proofErr w:type="gramEnd"/>
      <w:r w:rsidRPr="00A6072C">
        <w:rPr>
          <w:rFonts w:ascii="Arial" w:hAnsi="Arial" w:cs="Arial"/>
          <w:sz w:val="24"/>
          <w:szCs w:val="24"/>
        </w:rPr>
        <w:t xml:space="preserve"> 2017. </w:t>
      </w:r>
    </w:p>
    <w:p w14:paraId="318BAC6E" w14:textId="77777777" w:rsidR="00A6072C" w:rsidRPr="00A6072C" w:rsidRDefault="00A6072C" w:rsidP="00A6072C">
      <w:pPr>
        <w:rPr>
          <w:rFonts w:ascii="Arial" w:hAnsi="Arial" w:cs="Arial"/>
          <w:sz w:val="24"/>
          <w:szCs w:val="24"/>
        </w:rPr>
      </w:pPr>
    </w:p>
    <w:p w14:paraId="6A0D3CE9" w14:textId="77777777" w:rsidR="00A6072C" w:rsidRPr="00EE012F" w:rsidRDefault="00A6072C" w:rsidP="00EE012F">
      <w:pPr>
        <w:rPr>
          <w:rFonts w:ascii="Arial" w:hAnsi="Arial" w:cs="Arial"/>
          <w:sz w:val="24"/>
          <w:szCs w:val="24"/>
        </w:rPr>
      </w:pPr>
    </w:p>
    <w:p w14:paraId="751E6EBB" w14:textId="77777777" w:rsidR="00EE012F" w:rsidRPr="00EE012F" w:rsidRDefault="00EE012F" w:rsidP="00EE012F">
      <w:pPr>
        <w:rPr>
          <w:rFonts w:ascii="Arial" w:hAnsi="Arial" w:cs="Arial"/>
          <w:sz w:val="24"/>
          <w:szCs w:val="24"/>
        </w:rPr>
      </w:pPr>
    </w:p>
    <w:p w14:paraId="7A09E76D" w14:textId="77777777" w:rsidR="00EE012F" w:rsidRDefault="00EE012F" w:rsidP="00331023">
      <w:pPr>
        <w:rPr>
          <w:rFonts w:ascii="Arial" w:hAnsi="Arial" w:cs="Arial"/>
          <w:sz w:val="24"/>
          <w:szCs w:val="24"/>
        </w:rPr>
      </w:pPr>
    </w:p>
    <w:p w14:paraId="3BC108E2" w14:textId="3DF6C038" w:rsidR="00DF7004" w:rsidRPr="00DF7004" w:rsidRDefault="00DF7004" w:rsidP="00DF7004">
      <w:pPr>
        <w:pStyle w:val="ListParagraph"/>
        <w:ind w:left="1080"/>
        <w:rPr>
          <w:rFonts w:ascii="Arial" w:hAnsi="Arial" w:cs="Arial"/>
          <w:sz w:val="24"/>
          <w:szCs w:val="24"/>
        </w:rPr>
      </w:pPr>
    </w:p>
    <w:p w14:paraId="2722AC03" w14:textId="77777777" w:rsidR="00F7028B" w:rsidRDefault="00F7028B" w:rsidP="00F7028B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14:paraId="36F5A86F" w14:textId="77777777" w:rsidR="00F7028B" w:rsidRDefault="00F7028B" w:rsidP="00F7028B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14:paraId="13850B56" w14:textId="77777777" w:rsidR="00F7028B" w:rsidRDefault="00F7028B" w:rsidP="00F7028B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14:paraId="220A8325" w14:textId="071CE5E8" w:rsidR="2A94A9E6" w:rsidRPr="0055164A" w:rsidRDefault="2A94A9E6" w:rsidP="0055164A">
      <w:pPr>
        <w:rPr>
          <w:sz w:val="24"/>
          <w:szCs w:val="24"/>
        </w:rPr>
      </w:pPr>
    </w:p>
    <w:sectPr w:rsidR="2A94A9E6" w:rsidRPr="005516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B7F8E"/>
    <w:multiLevelType w:val="hybridMultilevel"/>
    <w:tmpl w:val="821CFD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365BB7"/>
    <w:multiLevelType w:val="hybridMultilevel"/>
    <w:tmpl w:val="DE9CC1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5E6C1D"/>
    <w:multiLevelType w:val="hybridMultilevel"/>
    <w:tmpl w:val="BC64C7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9A6AD6"/>
    <w:multiLevelType w:val="hybridMultilevel"/>
    <w:tmpl w:val="51FA6606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FA5881"/>
    <w:multiLevelType w:val="hybridMultilevel"/>
    <w:tmpl w:val="41FEFE8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24A05A0"/>
    <w:multiLevelType w:val="hybridMultilevel"/>
    <w:tmpl w:val="E216E508"/>
    <w:lvl w:ilvl="0" w:tplc="207EF6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8A0D6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5AADF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66AB0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2108A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63C68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94278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ED4FB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A2E64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37E33E82"/>
    <w:multiLevelType w:val="hybridMultilevel"/>
    <w:tmpl w:val="F0DA8F6A"/>
    <w:lvl w:ilvl="0" w:tplc="FAD2DB6A">
      <w:numFmt w:val="bullet"/>
      <w:lvlText w:val="-"/>
      <w:lvlJc w:val="left"/>
      <w:pPr>
        <w:ind w:left="720" w:hanging="360"/>
      </w:pPr>
      <w:rPr>
        <w:rFonts w:ascii="Corbel" w:eastAsiaTheme="minorHAnsi" w:hAnsi="Corbe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3828B5"/>
    <w:multiLevelType w:val="hybridMultilevel"/>
    <w:tmpl w:val="DCB833F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B6E7953"/>
    <w:multiLevelType w:val="hybridMultilevel"/>
    <w:tmpl w:val="80E8E1E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1AD26EB"/>
    <w:multiLevelType w:val="multilevel"/>
    <w:tmpl w:val="8CBEF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B0B6D47"/>
    <w:multiLevelType w:val="hybridMultilevel"/>
    <w:tmpl w:val="3CAC07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38429C"/>
    <w:multiLevelType w:val="hybridMultilevel"/>
    <w:tmpl w:val="1DCEAEA8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2CD2B04"/>
    <w:multiLevelType w:val="hybridMultilevel"/>
    <w:tmpl w:val="C900864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4920375"/>
    <w:multiLevelType w:val="hybridMultilevel"/>
    <w:tmpl w:val="0A9E91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E10E20"/>
    <w:multiLevelType w:val="hybridMultilevel"/>
    <w:tmpl w:val="38DA921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2C773D"/>
    <w:multiLevelType w:val="hybridMultilevel"/>
    <w:tmpl w:val="549EC9B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8E9641A"/>
    <w:multiLevelType w:val="hybridMultilevel"/>
    <w:tmpl w:val="E5547E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9D0C74"/>
    <w:multiLevelType w:val="hybridMultilevel"/>
    <w:tmpl w:val="D4B479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6"/>
  </w:num>
  <w:num w:numId="3">
    <w:abstractNumId w:val="15"/>
  </w:num>
  <w:num w:numId="4">
    <w:abstractNumId w:val="8"/>
  </w:num>
  <w:num w:numId="5">
    <w:abstractNumId w:val="0"/>
  </w:num>
  <w:num w:numId="6">
    <w:abstractNumId w:val="2"/>
  </w:num>
  <w:num w:numId="7">
    <w:abstractNumId w:val="14"/>
  </w:num>
  <w:num w:numId="8">
    <w:abstractNumId w:val="1"/>
  </w:num>
  <w:num w:numId="9">
    <w:abstractNumId w:val="5"/>
  </w:num>
  <w:num w:numId="10">
    <w:abstractNumId w:val="13"/>
  </w:num>
  <w:num w:numId="11">
    <w:abstractNumId w:val="10"/>
  </w:num>
  <w:num w:numId="12">
    <w:abstractNumId w:val="3"/>
  </w:num>
  <w:num w:numId="13">
    <w:abstractNumId w:val="7"/>
  </w:num>
  <w:num w:numId="14">
    <w:abstractNumId w:val="12"/>
  </w:num>
  <w:num w:numId="15">
    <w:abstractNumId w:val="17"/>
  </w:num>
  <w:num w:numId="16">
    <w:abstractNumId w:val="11"/>
  </w:num>
  <w:num w:numId="17">
    <w:abstractNumId w:val="4"/>
  </w:num>
  <w:num w:numId="18">
    <w:abstractNumId w:val="9"/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hloebc@gmail.com">
    <w15:presenceInfo w15:providerId="Windows Live" w15:userId="fd83d25bd233595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C7A207DC-9467-46F0-B0C9-F1E6C50A0C75}"/>
    <w:docVar w:name="dgnword-eventsink" w:val="106416720"/>
  </w:docVars>
  <w:rsids>
    <w:rsidRoot w:val="0084391C"/>
    <w:rsid w:val="00092FF7"/>
    <w:rsid w:val="000D6083"/>
    <w:rsid w:val="001637AE"/>
    <w:rsid w:val="00271373"/>
    <w:rsid w:val="002D4F3B"/>
    <w:rsid w:val="002F40F7"/>
    <w:rsid w:val="00331023"/>
    <w:rsid w:val="00345429"/>
    <w:rsid w:val="003B46EE"/>
    <w:rsid w:val="004542C8"/>
    <w:rsid w:val="004D4A9A"/>
    <w:rsid w:val="004E3E3C"/>
    <w:rsid w:val="0054231C"/>
    <w:rsid w:val="00545B9C"/>
    <w:rsid w:val="0055164A"/>
    <w:rsid w:val="005D4FDE"/>
    <w:rsid w:val="00765DE2"/>
    <w:rsid w:val="00792EBC"/>
    <w:rsid w:val="007B3ED0"/>
    <w:rsid w:val="007D181A"/>
    <w:rsid w:val="0080209A"/>
    <w:rsid w:val="0084391C"/>
    <w:rsid w:val="008B0E43"/>
    <w:rsid w:val="008C0906"/>
    <w:rsid w:val="00943280"/>
    <w:rsid w:val="0095053C"/>
    <w:rsid w:val="00977BC4"/>
    <w:rsid w:val="00983F99"/>
    <w:rsid w:val="009C3564"/>
    <w:rsid w:val="009E6D33"/>
    <w:rsid w:val="00A4505B"/>
    <w:rsid w:val="00A544D0"/>
    <w:rsid w:val="00A6072C"/>
    <w:rsid w:val="00A718D3"/>
    <w:rsid w:val="00AA76D8"/>
    <w:rsid w:val="00AC0BAD"/>
    <w:rsid w:val="00B74D33"/>
    <w:rsid w:val="00BA763F"/>
    <w:rsid w:val="00BD1AAC"/>
    <w:rsid w:val="00D05950"/>
    <w:rsid w:val="00D16707"/>
    <w:rsid w:val="00D2053A"/>
    <w:rsid w:val="00D83256"/>
    <w:rsid w:val="00DF7004"/>
    <w:rsid w:val="00E3324F"/>
    <w:rsid w:val="00EE012F"/>
    <w:rsid w:val="00F04E3A"/>
    <w:rsid w:val="00F31911"/>
    <w:rsid w:val="00F3462A"/>
    <w:rsid w:val="00F56E75"/>
    <w:rsid w:val="00F65E13"/>
    <w:rsid w:val="00F7028B"/>
    <w:rsid w:val="2A94A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1E22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DF700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39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391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544D0"/>
    <w:pPr>
      <w:ind w:left="720"/>
      <w:contextualSpacing/>
    </w:pPr>
  </w:style>
  <w:style w:type="table" w:styleId="TableGrid">
    <w:name w:val="Table Grid"/>
    <w:basedOn w:val="TableNormal"/>
    <w:uiPriority w:val="59"/>
    <w:rsid w:val="002D4F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1">
    <w:name w:val="Light List Accent 1"/>
    <w:basedOn w:val="TableNormal"/>
    <w:uiPriority w:val="61"/>
    <w:rsid w:val="002D4F3B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0D6083"/>
    <w:rPr>
      <w:color w:val="0000FF"/>
      <w:u w:val="single"/>
    </w:rPr>
  </w:style>
  <w:style w:type="character" w:customStyle="1" w:styleId="pp-pub-journal1">
    <w:name w:val="pp-pub-journal1"/>
    <w:basedOn w:val="DefaultParagraphFont"/>
    <w:rsid w:val="0095053C"/>
    <w:rPr>
      <w:i/>
      <w:iCs/>
      <w:color w:val="008000"/>
    </w:rPr>
  </w:style>
  <w:style w:type="character" w:customStyle="1" w:styleId="pp-pub-year">
    <w:name w:val="pp-pub-year"/>
    <w:basedOn w:val="DefaultParagraphFont"/>
    <w:rsid w:val="0095053C"/>
  </w:style>
  <w:style w:type="character" w:customStyle="1" w:styleId="pp-pub-type1">
    <w:name w:val="pp-pub-type1"/>
    <w:basedOn w:val="DefaultParagraphFont"/>
    <w:rsid w:val="0095053C"/>
    <w:rPr>
      <w:color w:val="B3B3B3"/>
    </w:rPr>
  </w:style>
  <w:style w:type="character" w:customStyle="1" w:styleId="pp-pub-abstract-icon1">
    <w:name w:val="pp-pub-abstract-icon1"/>
    <w:basedOn w:val="DefaultParagraphFont"/>
    <w:rsid w:val="0095053C"/>
    <w:rPr>
      <w:color w:val="BFBFBF"/>
      <w:sz w:val="17"/>
      <w:szCs w:val="17"/>
    </w:rPr>
  </w:style>
  <w:style w:type="character" w:customStyle="1" w:styleId="Heading2Char">
    <w:name w:val="Heading 2 Char"/>
    <w:basedOn w:val="DefaultParagraphFont"/>
    <w:link w:val="Heading2"/>
    <w:uiPriority w:val="9"/>
    <w:rsid w:val="00DF7004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DF700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39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391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544D0"/>
    <w:pPr>
      <w:ind w:left="720"/>
      <w:contextualSpacing/>
    </w:pPr>
  </w:style>
  <w:style w:type="table" w:styleId="TableGrid">
    <w:name w:val="Table Grid"/>
    <w:basedOn w:val="TableNormal"/>
    <w:uiPriority w:val="59"/>
    <w:rsid w:val="002D4F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1">
    <w:name w:val="Light List Accent 1"/>
    <w:basedOn w:val="TableNormal"/>
    <w:uiPriority w:val="61"/>
    <w:rsid w:val="002D4F3B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0D6083"/>
    <w:rPr>
      <w:color w:val="0000FF"/>
      <w:u w:val="single"/>
    </w:rPr>
  </w:style>
  <w:style w:type="character" w:customStyle="1" w:styleId="pp-pub-journal1">
    <w:name w:val="pp-pub-journal1"/>
    <w:basedOn w:val="DefaultParagraphFont"/>
    <w:rsid w:val="0095053C"/>
    <w:rPr>
      <w:i/>
      <w:iCs/>
      <w:color w:val="008000"/>
    </w:rPr>
  </w:style>
  <w:style w:type="character" w:customStyle="1" w:styleId="pp-pub-year">
    <w:name w:val="pp-pub-year"/>
    <w:basedOn w:val="DefaultParagraphFont"/>
    <w:rsid w:val="0095053C"/>
  </w:style>
  <w:style w:type="character" w:customStyle="1" w:styleId="pp-pub-type1">
    <w:name w:val="pp-pub-type1"/>
    <w:basedOn w:val="DefaultParagraphFont"/>
    <w:rsid w:val="0095053C"/>
    <w:rPr>
      <w:color w:val="B3B3B3"/>
    </w:rPr>
  </w:style>
  <w:style w:type="character" w:customStyle="1" w:styleId="pp-pub-abstract-icon1">
    <w:name w:val="pp-pub-abstract-icon1"/>
    <w:basedOn w:val="DefaultParagraphFont"/>
    <w:rsid w:val="0095053C"/>
    <w:rPr>
      <w:color w:val="BFBFBF"/>
      <w:sz w:val="17"/>
      <w:szCs w:val="17"/>
    </w:rPr>
  </w:style>
  <w:style w:type="character" w:customStyle="1" w:styleId="Heading2Char">
    <w:name w:val="Heading 2 Char"/>
    <w:basedOn w:val="DefaultParagraphFont"/>
    <w:link w:val="Heading2"/>
    <w:uiPriority w:val="9"/>
    <w:rsid w:val="00DF7004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05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02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1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2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55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218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559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578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983527">
                                  <w:marLeft w:val="0"/>
                                  <w:marRight w:val="0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423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5607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0016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7369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572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41847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8063322ECD2A4C836D2589E489F290" ma:contentTypeVersion="4" ma:contentTypeDescription="Create a new document." ma:contentTypeScope="" ma:versionID="87d255104f8536b5b85e366e31c232d6">
  <xsd:schema xmlns:xsd="http://www.w3.org/2001/XMLSchema" xmlns:xs="http://www.w3.org/2001/XMLSchema" xmlns:p="http://schemas.microsoft.com/office/2006/metadata/properties" xmlns:ns2="eacaa5ce-4b13-4929-997a-fd8c1bfe780a" xmlns:ns3="69aa3883-b251-412e-bf1d-acb3217d06af" targetNamespace="http://schemas.microsoft.com/office/2006/metadata/properties" ma:root="true" ma:fieldsID="4c8521088e9a5bdd28cc23b4085936d8" ns2:_="" ns3:_="">
    <xsd:import namespace="eacaa5ce-4b13-4929-997a-fd8c1bfe780a"/>
    <xsd:import namespace="69aa3883-b251-412e-bf1d-acb3217d06a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caa5ce-4b13-4929-997a-fd8c1bfe78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aa3883-b251-412e-bf1d-acb3217d06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5E6D227-FFD5-44BF-BF79-1EACF0D014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caa5ce-4b13-4929-997a-fd8c1bfe780a"/>
    <ds:schemaRef ds:uri="69aa3883-b251-412e-bf1d-acb3217d06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7E6AB2B-DA3E-4AB7-8FEF-6975191240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B2EA37-27D1-4A96-B583-D61C3345976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563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 Medicine</Company>
  <LinksUpToDate>false</LinksUpToDate>
  <CharactersWithSpaces>3767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Lynch, John B</dc:creator>
  <cp:lastModifiedBy>Wright, Theodore C</cp:lastModifiedBy>
  <cp:revision>2</cp:revision>
  <dcterms:created xsi:type="dcterms:W3CDTF">2018-05-02T20:52:00Z</dcterms:created>
  <dcterms:modified xsi:type="dcterms:W3CDTF">2018-05-02T20:52:00Z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0x010100508063322ECD2A4C836D2589E489F290</vt:lpwstr>
  </property>
</Properties>
</file>