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982842" w14:textId="77777777" w:rsidR="009E6D33" w:rsidRDefault="0084391C" w:rsidP="00A544D0">
      <w:pPr>
        <w:jc w:val="center"/>
      </w:pPr>
      <w:r>
        <w:rPr>
          <w:noProof/>
        </w:rPr>
        <mc:AlternateContent>
          <mc:Choice Requires="wps">
            <w:drawing>
              <wp:inline distT="0" distB="0" distL="0" distR="0" wp14:anchorId="7460AC14" wp14:editId="3BB68176">
                <wp:extent cx="304800" cy="304800"/>
                <wp:effectExtent l="0" t="0" r="0" b="0"/>
                <wp:docPr id="2" name="AutoShape 4" descr="UW TASP_LogoExploration_RGB_Colo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xmlns:w15="http://schemas.microsoft.com/office/word/2012/wordml">
            <w:pict>
              <v:rect id="AutoShape 4" o:spid="_x0000_s1026" alt="UW TASP_LogoExploration_RGB_Colo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nmS9t1gIAAOUFAAAOAAAAAAAAAAAAAAAAAC4CAABkcnMvZTJvRG9j&#10;LnhtbFBLAQItABQABgAIAAAAIQBMoOks2AAAAAMBAAAPAAAAAAAAAAAAAAAAADAFAABkcnMvZG93&#10;bnJldi54bWxQSwUGAAAAAAQABADzAAAANQYAAAAA&#10;" filled="f" stroked="f">
                <o:lock v:ext="edit" aspectratio="t"/>
                <w10:anchorlock/>
              </v:rect>
            </w:pict>
          </mc:Fallback>
        </mc:AlternateContent>
      </w:r>
      <w:r>
        <w:rPr>
          <w:noProof/>
        </w:rPr>
        <w:drawing>
          <wp:inline distT="0" distB="0" distL="0" distR="0" wp14:anchorId="639171FE" wp14:editId="5DCF0D37">
            <wp:extent cx="2638425" cy="77715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38425" cy="777151"/>
                    </a:xfrm>
                    <a:prstGeom prst="rect">
                      <a:avLst/>
                    </a:prstGeom>
                  </pic:spPr>
                </pic:pic>
              </a:graphicData>
            </a:graphic>
          </wp:inline>
        </w:drawing>
      </w:r>
    </w:p>
    <w:p w14:paraId="4B4D3DCC" w14:textId="0768618C" w:rsidR="00A544D0" w:rsidRPr="00092FF7" w:rsidRDefault="00F31911" w:rsidP="00A544D0">
      <w:pPr>
        <w:rPr>
          <w:rFonts w:ascii="Corbel" w:hAnsi="Corbel"/>
          <w:b/>
          <w:sz w:val="32"/>
        </w:rPr>
      </w:pPr>
      <w:r>
        <w:rPr>
          <w:rFonts w:ascii="Corbel" w:hAnsi="Corbel"/>
          <w:b/>
          <w:sz w:val="32"/>
        </w:rPr>
        <w:t>Session Summary for 6 March</w:t>
      </w:r>
      <w:r w:rsidR="00D16707">
        <w:rPr>
          <w:rFonts w:ascii="Corbel" w:hAnsi="Corbel"/>
          <w:b/>
          <w:sz w:val="32"/>
        </w:rPr>
        <w:t xml:space="preserve"> 2018</w:t>
      </w:r>
    </w:p>
    <w:p w14:paraId="22CAE07B" w14:textId="5228FC38" w:rsidR="00983F99" w:rsidRPr="00345429" w:rsidRDefault="00A4505B" w:rsidP="004E3E3C">
      <w:pPr>
        <w:rPr>
          <w:rFonts w:ascii="Corbel" w:hAnsi="Corbel"/>
          <w:b/>
          <w:sz w:val="28"/>
          <w:szCs w:val="28"/>
          <w:u w:val="single"/>
        </w:rPr>
      </w:pPr>
      <w:r w:rsidRPr="00345429">
        <w:rPr>
          <w:rFonts w:ascii="Corbel" w:hAnsi="Corbel"/>
          <w:b/>
          <w:sz w:val="28"/>
          <w:szCs w:val="28"/>
          <w:u w:val="single"/>
        </w:rPr>
        <w:t xml:space="preserve">Didactic: </w:t>
      </w:r>
      <w:r w:rsidR="00B74D33" w:rsidRPr="00345429">
        <w:rPr>
          <w:rFonts w:ascii="Corbel" w:hAnsi="Corbel"/>
          <w:b/>
          <w:sz w:val="28"/>
          <w:szCs w:val="28"/>
          <w:u w:val="single"/>
        </w:rPr>
        <w:t>Antibiotic Time Outs</w:t>
      </w:r>
      <w:r w:rsidR="00AA76D8" w:rsidRPr="00345429">
        <w:rPr>
          <w:rFonts w:ascii="Corbel" w:hAnsi="Corbel"/>
          <w:b/>
          <w:sz w:val="28"/>
          <w:szCs w:val="28"/>
          <w:u w:val="single"/>
        </w:rPr>
        <w:t xml:space="preserve">, </w:t>
      </w:r>
      <w:r w:rsidR="00B74D33" w:rsidRPr="00345429">
        <w:rPr>
          <w:rFonts w:ascii="Corbel" w:hAnsi="Corbel"/>
          <w:b/>
          <w:sz w:val="28"/>
          <w:szCs w:val="28"/>
          <w:u w:val="single"/>
        </w:rPr>
        <w:t>Paul Pottinger</w:t>
      </w:r>
      <w:r w:rsidR="004E3E3C" w:rsidRPr="00345429">
        <w:rPr>
          <w:rFonts w:ascii="Corbel" w:hAnsi="Corbel"/>
          <w:b/>
          <w:sz w:val="28"/>
          <w:szCs w:val="28"/>
          <w:u w:val="single"/>
        </w:rPr>
        <w:t>, MD</w:t>
      </w:r>
      <w:r w:rsidR="00B74D33" w:rsidRPr="00345429">
        <w:rPr>
          <w:rFonts w:ascii="Corbel" w:hAnsi="Corbel"/>
          <w:b/>
          <w:sz w:val="28"/>
          <w:szCs w:val="28"/>
          <w:u w:val="single"/>
        </w:rPr>
        <w:t xml:space="preserve">, </w:t>
      </w:r>
      <w:proofErr w:type="gramStart"/>
      <w:r w:rsidR="00B74D33" w:rsidRPr="00345429">
        <w:rPr>
          <w:rFonts w:ascii="Corbel" w:hAnsi="Corbel"/>
          <w:b/>
          <w:sz w:val="28"/>
          <w:szCs w:val="28"/>
          <w:u w:val="single"/>
        </w:rPr>
        <w:t>FIDSA</w:t>
      </w:r>
      <w:proofErr w:type="gramEnd"/>
      <w:r w:rsidR="004E3E3C" w:rsidRPr="00345429">
        <w:rPr>
          <w:rFonts w:ascii="Corbel" w:hAnsi="Corbel"/>
          <w:b/>
          <w:sz w:val="28"/>
          <w:szCs w:val="28"/>
          <w:u w:val="single"/>
        </w:rPr>
        <w:t xml:space="preserve">. </w:t>
      </w:r>
    </w:p>
    <w:p w14:paraId="0960C47E" w14:textId="605EC893" w:rsidR="00B74D33" w:rsidRDefault="00B74D33" w:rsidP="00F31911">
      <w:pPr>
        <w:pStyle w:val="ListParagraph"/>
        <w:numPr>
          <w:ilvl w:val="0"/>
          <w:numId w:val="7"/>
        </w:numPr>
        <w:rPr>
          <w:rFonts w:ascii="Corbel" w:hAnsi="Corbel" w:cs="Times New Roman"/>
          <w:sz w:val="28"/>
          <w:szCs w:val="28"/>
        </w:rPr>
      </w:pPr>
      <w:r>
        <w:rPr>
          <w:rFonts w:ascii="Corbel" w:hAnsi="Corbel" w:cs="Times New Roman"/>
          <w:sz w:val="28"/>
          <w:szCs w:val="28"/>
        </w:rPr>
        <w:t xml:space="preserve">Checklists improve safety.  Example, aviation. </w:t>
      </w:r>
    </w:p>
    <w:p w14:paraId="5FB7E2B9" w14:textId="7A99204F" w:rsidR="00F56E75" w:rsidRDefault="00F56E75" w:rsidP="00F31911">
      <w:pPr>
        <w:pStyle w:val="ListParagraph"/>
        <w:numPr>
          <w:ilvl w:val="0"/>
          <w:numId w:val="7"/>
        </w:numPr>
        <w:rPr>
          <w:rFonts w:ascii="Corbel" w:hAnsi="Corbel" w:cs="Times New Roman"/>
          <w:sz w:val="28"/>
          <w:szCs w:val="28"/>
        </w:rPr>
      </w:pPr>
      <w:r>
        <w:rPr>
          <w:rFonts w:ascii="Corbel" w:hAnsi="Corbel" w:cs="Times New Roman"/>
          <w:sz w:val="28"/>
          <w:szCs w:val="28"/>
        </w:rPr>
        <w:t xml:space="preserve">Joint commission now requires that providers </w:t>
      </w:r>
      <w:r w:rsidR="00345429">
        <w:rPr>
          <w:rFonts w:ascii="Corbel" w:hAnsi="Corbel" w:cs="Times New Roman"/>
          <w:sz w:val="28"/>
          <w:szCs w:val="28"/>
        </w:rPr>
        <w:t xml:space="preserve">evaluate the need of ongoing treatment after a set period of initial treatment; for example, a 48 hour antibiotic time out. </w:t>
      </w:r>
    </w:p>
    <w:p w14:paraId="5F797E9E" w14:textId="10AECDBA" w:rsidR="00345429" w:rsidRDefault="00345429" w:rsidP="00F31911">
      <w:pPr>
        <w:pStyle w:val="ListParagraph"/>
        <w:numPr>
          <w:ilvl w:val="0"/>
          <w:numId w:val="7"/>
        </w:numPr>
        <w:rPr>
          <w:rFonts w:ascii="Corbel" w:hAnsi="Corbel" w:cs="Times New Roman"/>
          <w:sz w:val="28"/>
          <w:szCs w:val="28"/>
        </w:rPr>
      </w:pPr>
      <w:r>
        <w:rPr>
          <w:rFonts w:ascii="Corbel" w:hAnsi="Corbel" w:cs="Times New Roman"/>
          <w:sz w:val="28"/>
          <w:szCs w:val="28"/>
        </w:rPr>
        <w:t>Graber, JG; et al. Taking an Antibiotic Time-Out: utilization and Usability of a Self-Stewardship Time-Out Program for Renewal of Vancomycin and Piperacillin-</w:t>
      </w:r>
      <w:proofErr w:type="spellStart"/>
      <w:r>
        <w:rPr>
          <w:rFonts w:ascii="Corbel" w:hAnsi="Corbel" w:cs="Times New Roman"/>
          <w:sz w:val="28"/>
          <w:szCs w:val="28"/>
        </w:rPr>
        <w:t>Tazobactam</w:t>
      </w:r>
      <w:proofErr w:type="spellEnd"/>
      <w:r>
        <w:rPr>
          <w:rFonts w:ascii="Corbel" w:hAnsi="Corbel" w:cs="Times New Roman"/>
          <w:sz w:val="28"/>
          <w:szCs w:val="28"/>
        </w:rPr>
        <w:t xml:space="preserve">. </w:t>
      </w:r>
      <w:proofErr w:type="spellStart"/>
      <w:r>
        <w:rPr>
          <w:rFonts w:ascii="Corbel" w:hAnsi="Corbel" w:cs="Times New Roman"/>
          <w:sz w:val="28"/>
          <w:szCs w:val="28"/>
        </w:rPr>
        <w:t>Hosp</w:t>
      </w:r>
      <w:proofErr w:type="spellEnd"/>
      <w:r>
        <w:rPr>
          <w:rFonts w:ascii="Corbel" w:hAnsi="Corbel" w:cs="Times New Roman"/>
          <w:sz w:val="28"/>
          <w:szCs w:val="28"/>
        </w:rPr>
        <w:t xml:space="preserve"> Pharm. 2015:50(11).</w:t>
      </w:r>
    </w:p>
    <w:p w14:paraId="52FB606B" w14:textId="2601208A" w:rsidR="00345429" w:rsidRDefault="00345429" w:rsidP="00345429">
      <w:pPr>
        <w:pStyle w:val="ListParagraph"/>
        <w:numPr>
          <w:ilvl w:val="1"/>
          <w:numId w:val="7"/>
        </w:numPr>
        <w:rPr>
          <w:rFonts w:ascii="Corbel" w:hAnsi="Corbel" w:cs="Times New Roman"/>
          <w:sz w:val="28"/>
          <w:szCs w:val="28"/>
        </w:rPr>
      </w:pPr>
      <w:proofErr w:type="gramStart"/>
      <w:r>
        <w:rPr>
          <w:rFonts w:ascii="Corbel" w:hAnsi="Corbel" w:cs="Times New Roman"/>
          <w:sz w:val="28"/>
          <w:szCs w:val="28"/>
        </w:rPr>
        <w:t>Antibiotic  time</w:t>
      </w:r>
      <w:proofErr w:type="gramEnd"/>
      <w:r>
        <w:rPr>
          <w:rFonts w:ascii="Corbel" w:hAnsi="Corbel" w:cs="Times New Roman"/>
          <w:sz w:val="28"/>
          <w:szCs w:val="28"/>
        </w:rPr>
        <w:t xml:space="preserve"> outs reduced inappropriate contin</w:t>
      </w:r>
      <w:bookmarkStart w:id="0" w:name="_GoBack"/>
      <w:bookmarkEnd w:id="0"/>
      <w:r>
        <w:rPr>
          <w:rFonts w:ascii="Corbel" w:hAnsi="Corbel" w:cs="Times New Roman"/>
          <w:sz w:val="28"/>
          <w:szCs w:val="28"/>
        </w:rPr>
        <w:t xml:space="preserve">uation of vancomycin. </w:t>
      </w:r>
    </w:p>
    <w:p w14:paraId="2F418F16" w14:textId="07525807" w:rsidR="00B74D33" w:rsidRDefault="00B74D33" w:rsidP="00F31911">
      <w:pPr>
        <w:pStyle w:val="ListParagraph"/>
        <w:numPr>
          <w:ilvl w:val="0"/>
          <w:numId w:val="7"/>
        </w:numPr>
        <w:rPr>
          <w:rFonts w:ascii="Corbel" w:hAnsi="Corbel" w:cs="Times New Roman"/>
          <w:sz w:val="28"/>
          <w:szCs w:val="28"/>
        </w:rPr>
      </w:pPr>
      <w:r>
        <w:rPr>
          <w:rFonts w:ascii="Corbel" w:hAnsi="Corbel" w:cs="Times New Roman"/>
          <w:sz w:val="28"/>
          <w:szCs w:val="28"/>
        </w:rPr>
        <w:t xml:space="preserve">Antibiotic Time Outs are a form of checklist. </w:t>
      </w:r>
    </w:p>
    <w:p w14:paraId="011B171D" w14:textId="2ECEF699" w:rsidR="00B74D33" w:rsidRDefault="00B74D33" w:rsidP="00B74D33">
      <w:pPr>
        <w:pStyle w:val="ListParagraph"/>
        <w:numPr>
          <w:ilvl w:val="1"/>
          <w:numId w:val="7"/>
        </w:numPr>
        <w:rPr>
          <w:rFonts w:ascii="Corbel" w:hAnsi="Corbel" w:cs="Times New Roman"/>
          <w:sz w:val="28"/>
          <w:szCs w:val="28"/>
        </w:rPr>
      </w:pPr>
      <w:r>
        <w:rPr>
          <w:rFonts w:ascii="Corbel" w:hAnsi="Corbel" w:cs="Times New Roman"/>
          <w:sz w:val="28"/>
          <w:szCs w:val="28"/>
        </w:rPr>
        <w:t>Right diagnosis?</w:t>
      </w:r>
    </w:p>
    <w:p w14:paraId="7D07C9A0" w14:textId="5D81295F" w:rsidR="00B74D33" w:rsidRDefault="00B74D33" w:rsidP="00B74D33">
      <w:pPr>
        <w:pStyle w:val="ListParagraph"/>
        <w:numPr>
          <w:ilvl w:val="1"/>
          <w:numId w:val="7"/>
        </w:numPr>
        <w:rPr>
          <w:rFonts w:ascii="Corbel" w:hAnsi="Corbel" w:cs="Times New Roman"/>
          <w:sz w:val="28"/>
          <w:szCs w:val="28"/>
        </w:rPr>
      </w:pPr>
      <w:r>
        <w:rPr>
          <w:rFonts w:ascii="Corbel" w:hAnsi="Corbel" w:cs="Times New Roman"/>
          <w:sz w:val="28"/>
          <w:szCs w:val="28"/>
        </w:rPr>
        <w:t>Right drug?</w:t>
      </w:r>
    </w:p>
    <w:p w14:paraId="54D72A5E" w14:textId="554E0417" w:rsidR="00B74D33" w:rsidRDefault="00B74D33" w:rsidP="00B74D33">
      <w:pPr>
        <w:pStyle w:val="ListParagraph"/>
        <w:numPr>
          <w:ilvl w:val="1"/>
          <w:numId w:val="7"/>
        </w:numPr>
        <w:rPr>
          <w:rFonts w:ascii="Corbel" w:hAnsi="Corbel" w:cs="Times New Roman"/>
          <w:sz w:val="28"/>
          <w:szCs w:val="28"/>
        </w:rPr>
      </w:pPr>
      <w:r>
        <w:rPr>
          <w:rFonts w:ascii="Corbel" w:hAnsi="Corbel" w:cs="Times New Roman"/>
          <w:sz w:val="28"/>
          <w:szCs w:val="28"/>
        </w:rPr>
        <w:t>Right dose? Route? Interval?</w:t>
      </w:r>
    </w:p>
    <w:p w14:paraId="3F1CF774" w14:textId="6DCA29D0" w:rsidR="00B74D33" w:rsidRDefault="00B74D33" w:rsidP="00B74D33">
      <w:pPr>
        <w:pStyle w:val="ListParagraph"/>
        <w:numPr>
          <w:ilvl w:val="1"/>
          <w:numId w:val="7"/>
        </w:numPr>
        <w:rPr>
          <w:rFonts w:ascii="Corbel" w:hAnsi="Corbel" w:cs="Times New Roman"/>
          <w:sz w:val="28"/>
          <w:szCs w:val="28"/>
        </w:rPr>
      </w:pPr>
      <w:r>
        <w:rPr>
          <w:rFonts w:ascii="Corbel" w:hAnsi="Corbel" w:cs="Times New Roman"/>
          <w:sz w:val="28"/>
          <w:szCs w:val="28"/>
        </w:rPr>
        <w:t>Right Duration?</w:t>
      </w:r>
    </w:p>
    <w:p w14:paraId="2CFFD63A" w14:textId="2E25D6B5" w:rsidR="00B74D33" w:rsidRDefault="00B74D33" w:rsidP="00B74D33">
      <w:pPr>
        <w:pStyle w:val="ListParagraph"/>
        <w:numPr>
          <w:ilvl w:val="0"/>
          <w:numId w:val="7"/>
        </w:numPr>
        <w:rPr>
          <w:rFonts w:ascii="Corbel" w:hAnsi="Corbel" w:cs="Times New Roman"/>
          <w:sz w:val="28"/>
          <w:szCs w:val="28"/>
        </w:rPr>
      </w:pPr>
      <w:r>
        <w:rPr>
          <w:rFonts w:ascii="Corbel" w:hAnsi="Corbel" w:cs="Times New Roman"/>
          <w:sz w:val="28"/>
          <w:szCs w:val="28"/>
        </w:rPr>
        <w:t xml:space="preserve">Antibiotic Time Outs come in different forms. </w:t>
      </w:r>
    </w:p>
    <w:p w14:paraId="50281E79" w14:textId="317B4216" w:rsidR="00B74D33" w:rsidRDefault="00B74D33" w:rsidP="00B74D33">
      <w:pPr>
        <w:pStyle w:val="ListParagraph"/>
        <w:numPr>
          <w:ilvl w:val="1"/>
          <w:numId w:val="7"/>
        </w:numPr>
        <w:rPr>
          <w:rFonts w:ascii="Corbel" w:hAnsi="Corbel" w:cs="Times New Roman"/>
          <w:sz w:val="28"/>
          <w:szCs w:val="28"/>
        </w:rPr>
      </w:pPr>
      <w:r>
        <w:rPr>
          <w:rFonts w:ascii="Corbel" w:hAnsi="Corbel" w:cs="Times New Roman"/>
          <w:sz w:val="28"/>
          <w:szCs w:val="28"/>
        </w:rPr>
        <w:t>Automatic 48 hour alert in the EHR.</w:t>
      </w:r>
    </w:p>
    <w:p w14:paraId="7CAAB3EB" w14:textId="074D65C4" w:rsidR="00B74D33" w:rsidRDefault="00B74D33" w:rsidP="00B74D33">
      <w:pPr>
        <w:pStyle w:val="ListParagraph"/>
        <w:numPr>
          <w:ilvl w:val="1"/>
          <w:numId w:val="7"/>
        </w:numPr>
        <w:rPr>
          <w:rFonts w:ascii="Corbel" w:hAnsi="Corbel" w:cs="Times New Roman"/>
          <w:sz w:val="28"/>
          <w:szCs w:val="28"/>
        </w:rPr>
      </w:pPr>
      <w:r>
        <w:rPr>
          <w:rFonts w:ascii="Corbel" w:hAnsi="Corbel" w:cs="Times New Roman"/>
          <w:sz w:val="28"/>
          <w:szCs w:val="28"/>
        </w:rPr>
        <w:t xml:space="preserve">Prompts providers to re-assess need for </w:t>
      </w:r>
      <w:proofErr w:type="spellStart"/>
      <w:r>
        <w:rPr>
          <w:rFonts w:ascii="Corbel" w:hAnsi="Corbel" w:cs="Times New Roman"/>
          <w:sz w:val="28"/>
          <w:szCs w:val="28"/>
        </w:rPr>
        <w:t>abx</w:t>
      </w:r>
      <w:proofErr w:type="spellEnd"/>
      <w:r>
        <w:rPr>
          <w:rFonts w:ascii="Corbel" w:hAnsi="Corbel" w:cs="Times New Roman"/>
          <w:sz w:val="28"/>
          <w:szCs w:val="28"/>
        </w:rPr>
        <w:t xml:space="preserve">. </w:t>
      </w:r>
    </w:p>
    <w:p w14:paraId="3F45B871" w14:textId="70C18F47" w:rsidR="00B74D33" w:rsidRDefault="00B74D33" w:rsidP="00B74D33">
      <w:pPr>
        <w:pStyle w:val="ListParagraph"/>
        <w:numPr>
          <w:ilvl w:val="1"/>
          <w:numId w:val="7"/>
        </w:numPr>
        <w:rPr>
          <w:rFonts w:ascii="Corbel" w:hAnsi="Corbel" w:cs="Times New Roman"/>
          <w:sz w:val="28"/>
          <w:szCs w:val="28"/>
        </w:rPr>
      </w:pPr>
      <w:r>
        <w:rPr>
          <w:rFonts w:ascii="Corbel" w:hAnsi="Corbel" w:cs="Times New Roman"/>
          <w:sz w:val="28"/>
          <w:szCs w:val="28"/>
        </w:rPr>
        <w:t xml:space="preserve">Team documents if antibiotics should continue, change, or stop. </w:t>
      </w:r>
    </w:p>
    <w:p w14:paraId="4CA29AE4" w14:textId="77777777" w:rsidR="00B74D33" w:rsidRDefault="00B74D33" w:rsidP="00B74D33">
      <w:pPr>
        <w:rPr>
          <w:rFonts w:ascii="Corbel" w:hAnsi="Corbel" w:cs="Times New Roman"/>
          <w:sz w:val="28"/>
          <w:szCs w:val="28"/>
        </w:rPr>
      </w:pPr>
    </w:p>
    <w:p w14:paraId="025C07A7" w14:textId="1F9E388F" w:rsidR="00B74D33" w:rsidRPr="00345429" w:rsidRDefault="00B74D33" w:rsidP="00B74D33">
      <w:pPr>
        <w:rPr>
          <w:rFonts w:ascii="Corbel" w:hAnsi="Corbel" w:cs="Times New Roman"/>
          <w:b/>
          <w:sz w:val="28"/>
          <w:szCs w:val="28"/>
          <w:u w:val="single"/>
        </w:rPr>
      </w:pPr>
      <w:r w:rsidRPr="00345429">
        <w:rPr>
          <w:rFonts w:ascii="Corbel" w:hAnsi="Corbel" w:cs="Times New Roman"/>
          <w:b/>
          <w:sz w:val="28"/>
          <w:szCs w:val="28"/>
          <w:u w:val="single"/>
        </w:rPr>
        <w:t xml:space="preserve">Case: Delayed outpatient antibiotic prescribing. </w:t>
      </w:r>
    </w:p>
    <w:p w14:paraId="4068FB63" w14:textId="28747638" w:rsidR="00B74D33" w:rsidRDefault="00B74D33" w:rsidP="00B74D33">
      <w:pPr>
        <w:rPr>
          <w:rFonts w:ascii="Corbel" w:hAnsi="Corbel" w:cs="Times New Roman"/>
          <w:sz w:val="28"/>
          <w:szCs w:val="28"/>
        </w:rPr>
      </w:pPr>
      <w:r>
        <w:rPr>
          <w:rFonts w:ascii="Corbel" w:hAnsi="Corbel" w:cs="Times New Roman"/>
          <w:sz w:val="28"/>
          <w:szCs w:val="28"/>
        </w:rPr>
        <w:t xml:space="preserve">Tyler, in Wenatchee, provided an excellent case of a patient with URI symptoms who was prescribed antibiotics on their second visit to clinic with URI symptoms. This was frustrating to the patient because they felt they should have been </w:t>
      </w:r>
      <w:r>
        <w:rPr>
          <w:rFonts w:ascii="Corbel" w:hAnsi="Corbel" w:cs="Times New Roman"/>
          <w:sz w:val="28"/>
          <w:szCs w:val="28"/>
        </w:rPr>
        <w:lastRenderedPageBreak/>
        <w:t xml:space="preserve">provided </w:t>
      </w:r>
      <w:proofErr w:type="spellStart"/>
      <w:r>
        <w:rPr>
          <w:rFonts w:ascii="Corbel" w:hAnsi="Corbel" w:cs="Times New Roman"/>
          <w:sz w:val="28"/>
          <w:szCs w:val="28"/>
        </w:rPr>
        <w:t>abx</w:t>
      </w:r>
      <w:proofErr w:type="spellEnd"/>
      <w:r>
        <w:rPr>
          <w:rFonts w:ascii="Corbel" w:hAnsi="Corbel" w:cs="Times New Roman"/>
          <w:sz w:val="28"/>
          <w:szCs w:val="28"/>
        </w:rPr>
        <w:t xml:space="preserve"> on the first visit. How do we reduce inappropriate outpatient antibiotic prescribing and satisfy our patients?</w:t>
      </w:r>
    </w:p>
    <w:p w14:paraId="16E80003" w14:textId="28C21CD3" w:rsidR="00B74D33" w:rsidRPr="00B74D33" w:rsidRDefault="00B74D33" w:rsidP="00B74D33">
      <w:pPr>
        <w:rPr>
          <w:rFonts w:ascii="Corbel" w:hAnsi="Corbel" w:cs="Times New Roman"/>
          <w:sz w:val="28"/>
          <w:szCs w:val="28"/>
        </w:rPr>
      </w:pPr>
      <w:r>
        <w:rPr>
          <w:rFonts w:ascii="Corbel" w:hAnsi="Corbel" w:cs="Times New Roman"/>
          <w:sz w:val="28"/>
          <w:szCs w:val="28"/>
        </w:rPr>
        <w:t>There are some excellent resources from the CDC and the Washington DOH to help in this. These include a poster from the Washington DOH stating your clinic’s unified commitment to appropriate antibiotics prescribing. The CDC provides “prescription pads” for symptomatic management of viral URI to help you make the patient feel like you addressed their needs and heard them as well as sent them home with an actual diagnosis and guidelines for management.</w:t>
      </w:r>
    </w:p>
    <w:p w14:paraId="7B4EF8B1" w14:textId="77777777" w:rsidR="00B74D33" w:rsidRPr="00B74D33" w:rsidRDefault="00345429" w:rsidP="00B74D33">
      <w:pPr>
        <w:pStyle w:val="ListParagraph"/>
        <w:numPr>
          <w:ilvl w:val="0"/>
          <w:numId w:val="11"/>
        </w:numPr>
        <w:rPr>
          <w:rStyle w:val="Hyperlink"/>
          <w:rFonts w:ascii="Corbel" w:hAnsi="Corbel" w:cs="Times New Roman"/>
          <w:color w:val="auto"/>
          <w:sz w:val="28"/>
          <w:szCs w:val="28"/>
          <w:u w:val="none"/>
        </w:rPr>
      </w:pPr>
      <w:hyperlink r:id="rId10" w:history="1">
        <w:r w:rsidR="00F31911" w:rsidRPr="00B74D33">
          <w:rPr>
            <w:rStyle w:val="Hyperlink"/>
            <w:rFonts w:ascii="Corbel" w:hAnsi="Corbel" w:cs="Times New Roman"/>
            <w:sz w:val="28"/>
            <w:szCs w:val="28"/>
          </w:rPr>
          <w:t>https://www.cdc.gov/antibiotic-use/community/index.html</w:t>
        </w:r>
      </w:hyperlink>
    </w:p>
    <w:p w14:paraId="42557F0E" w14:textId="1FA78960" w:rsidR="00F31911" w:rsidRPr="00B74D33" w:rsidRDefault="00345429" w:rsidP="00B74D33">
      <w:pPr>
        <w:pStyle w:val="ListParagraph"/>
        <w:numPr>
          <w:ilvl w:val="0"/>
          <w:numId w:val="11"/>
        </w:numPr>
        <w:rPr>
          <w:rFonts w:ascii="Corbel" w:hAnsi="Corbel" w:cs="Times New Roman"/>
          <w:sz w:val="28"/>
          <w:szCs w:val="28"/>
        </w:rPr>
      </w:pPr>
      <w:hyperlink r:id="rId11" w:history="1">
        <w:r w:rsidR="00F31911" w:rsidRPr="00B74D33">
          <w:rPr>
            <w:rStyle w:val="Hyperlink"/>
            <w:rFonts w:ascii="Corbel" w:hAnsi="Corbel" w:cs="Times New Roman"/>
            <w:sz w:val="28"/>
            <w:szCs w:val="28"/>
          </w:rPr>
          <w:t>https://www.cdc.gov/antibiotic-use/community/improving-prescribing/evidence/dataforactionaction.html</w:t>
        </w:r>
      </w:hyperlink>
    </w:p>
    <w:p w14:paraId="6931325E" w14:textId="77777777" w:rsidR="00F31911" w:rsidRDefault="00F31911" w:rsidP="00F31911">
      <w:pPr>
        <w:pStyle w:val="ListParagraph"/>
        <w:rPr>
          <w:rFonts w:ascii="Corbel" w:hAnsi="Corbel" w:cs="Times New Roman"/>
          <w:sz w:val="28"/>
          <w:szCs w:val="28"/>
        </w:rPr>
      </w:pPr>
    </w:p>
    <w:p w14:paraId="4CBDCDAC" w14:textId="22AC9E7A" w:rsidR="00F31911" w:rsidRDefault="00F31911" w:rsidP="00F31911">
      <w:pPr>
        <w:pStyle w:val="ListParagraph"/>
        <w:rPr>
          <w:rFonts w:ascii="Corbel" w:hAnsi="Corbel" w:cs="Times New Roman"/>
          <w:sz w:val="28"/>
          <w:szCs w:val="28"/>
        </w:rPr>
      </w:pPr>
      <w:r>
        <w:rPr>
          <w:noProof/>
        </w:rPr>
        <w:drawing>
          <wp:inline distT="0" distB="0" distL="0" distR="0" wp14:anchorId="5348604C" wp14:editId="281DEE71">
            <wp:extent cx="2779418" cy="174307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781787" cy="1744561"/>
                    </a:xfrm>
                    <a:prstGeom prst="rect">
                      <a:avLst/>
                    </a:prstGeom>
                  </pic:spPr>
                </pic:pic>
              </a:graphicData>
            </a:graphic>
          </wp:inline>
        </w:drawing>
      </w:r>
    </w:p>
    <w:p w14:paraId="794DF114" w14:textId="77777777" w:rsidR="00B74D33" w:rsidRDefault="00B74D33" w:rsidP="0054231C">
      <w:pPr>
        <w:pStyle w:val="ListParagraph"/>
        <w:rPr>
          <w:rFonts w:ascii="Corbel" w:hAnsi="Corbel" w:cs="Times New Roman"/>
          <w:sz w:val="28"/>
          <w:szCs w:val="28"/>
        </w:rPr>
      </w:pPr>
    </w:p>
    <w:p w14:paraId="1F512BDC" w14:textId="0F0F04A7" w:rsidR="00F31911" w:rsidRDefault="0054231C" w:rsidP="0054231C">
      <w:pPr>
        <w:pStyle w:val="ListParagraph"/>
        <w:rPr>
          <w:rFonts w:ascii="Corbel" w:hAnsi="Corbel" w:cs="Times New Roman"/>
          <w:sz w:val="28"/>
          <w:szCs w:val="28"/>
        </w:rPr>
      </w:pPr>
      <w:r>
        <w:rPr>
          <w:rFonts w:ascii="Corbel" w:hAnsi="Corbel" w:cs="Times New Roman"/>
          <w:sz w:val="28"/>
          <w:szCs w:val="28"/>
        </w:rPr>
        <w:t xml:space="preserve">CDC resources on outpatient delayed antibiotics and symptomatic therapy for viral infections can be found at: </w:t>
      </w:r>
      <w:hyperlink r:id="rId13" w:history="1">
        <w:r w:rsidRPr="00F719EC">
          <w:rPr>
            <w:rStyle w:val="Hyperlink"/>
            <w:rFonts w:ascii="Corbel" w:hAnsi="Corbel" w:cs="Times New Roman"/>
            <w:sz w:val="28"/>
            <w:szCs w:val="28"/>
          </w:rPr>
          <w:t>https://www.cdc.gov/antibiotic-use/community/materials-references/print-materials/hcp/index.html</w:t>
        </w:r>
      </w:hyperlink>
    </w:p>
    <w:p w14:paraId="2A9BF966" w14:textId="77777777" w:rsidR="00B74D33" w:rsidRDefault="0054231C" w:rsidP="00B74D33">
      <w:pPr>
        <w:pStyle w:val="ListParagraph"/>
        <w:rPr>
          <w:rFonts w:ascii="Corbel" w:hAnsi="Corbel" w:cs="Times New Roman"/>
          <w:sz w:val="28"/>
          <w:szCs w:val="28"/>
        </w:rPr>
      </w:pPr>
      <w:r>
        <w:rPr>
          <w:noProof/>
        </w:rPr>
        <w:drawing>
          <wp:inline distT="0" distB="0" distL="0" distR="0" wp14:anchorId="2B55C4C6" wp14:editId="76238C89">
            <wp:extent cx="1457325" cy="1803932"/>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457325" cy="1803932"/>
                    </a:xfrm>
                    <a:prstGeom prst="rect">
                      <a:avLst/>
                    </a:prstGeom>
                  </pic:spPr>
                </pic:pic>
              </a:graphicData>
            </a:graphic>
          </wp:inline>
        </w:drawing>
      </w:r>
      <w:r>
        <w:rPr>
          <w:noProof/>
        </w:rPr>
        <w:drawing>
          <wp:inline distT="0" distB="0" distL="0" distR="0" wp14:anchorId="364DD873" wp14:editId="1F3C719C">
            <wp:extent cx="1466332" cy="1808346"/>
            <wp:effectExtent l="0" t="0" r="63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466574" cy="1808644"/>
                    </a:xfrm>
                    <a:prstGeom prst="rect">
                      <a:avLst/>
                    </a:prstGeom>
                  </pic:spPr>
                </pic:pic>
              </a:graphicData>
            </a:graphic>
          </wp:inline>
        </w:drawing>
      </w:r>
      <w:r>
        <w:rPr>
          <w:noProof/>
        </w:rPr>
        <w:drawing>
          <wp:inline distT="0" distB="0" distL="0" distR="0" wp14:anchorId="76E47CEF" wp14:editId="3699CBDE">
            <wp:extent cx="1533525" cy="1822333"/>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535350" cy="1824502"/>
                    </a:xfrm>
                    <a:prstGeom prst="rect">
                      <a:avLst/>
                    </a:prstGeom>
                  </pic:spPr>
                </pic:pic>
              </a:graphicData>
            </a:graphic>
          </wp:inline>
        </w:drawing>
      </w:r>
    </w:p>
    <w:p w14:paraId="00666468" w14:textId="77777777" w:rsidR="00B74D33" w:rsidRDefault="00B74D33" w:rsidP="00B74D33">
      <w:pPr>
        <w:pStyle w:val="ListParagraph"/>
        <w:rPr>
          <w:rFonts w:ascii="Corbel" w:hAnsi="Corbel" w:cs="Times New Roman"/>
          <w:sz w:val="28"/>
          <w:szCs w:val="28"/>
        </w:rPr>
      </w:pPr>
    </w:p>
    <w:p w14:paraId="63372432" w14:textId="3CBB8191" w:rsidR="0054231C" w:rsidRPr="00B74D33" w:rsidRDefault="0054231C" w:rsidP="00B74D33">
      <w:pPr>
        <w:pStyle w:val="ListParagraph"/>
        <w:rPr>
          <w:rFonts w:ascii="Corbel" w:hAnsi="Corbel" w:cs="Times New Roman"/>
          <w:sz w:val="28"/>
          <w:szCs w:val="28"/>
        </w:rPr>
      </w:pPr>
      <w:r w:rsidRPr="00B74D33">
        <w:rPr>
          <w:rFonts w:ascii="Corbel" w:hAnsi="Corbel" w:cs="Times New Roman"/>
          <w:sz w:val="28"/>
          <w:szCs w:val="28"/>
        </w:rPr>
        <w:lastRenderedPageBreak/>
        <w:t>The Washington State DOH has a poster that can be placed in your clinic stating your commitment to avoiding unnecessary antibiotics in the outpatient setting:</w:t>
      </w:r>
    </w:p>
    <w:p w14:paraId="00F78B53" w14:textId="0DF19AF8" w:rsidR="0054231C" w:rsidRDefault="0054231C" w:rsidP="00B74D33">
      <w:pPr>
        <w:pStyle w:val="ListParagraph"/>
        <w:jc w:val="center"/>
        <w:rPr>
          <w:rFonts w:ascii="Corbel" w:hAnsi="Corbel" w:cs="Times New Roman"/>
          <w:sz w:val="28"/>
          <w:szCs w:val="28"/>
        </w:rPr>
      </w:pPr>
      <w:r>
        <w:rPr>
          <w:noProof/>
        </w:rPr>
        <w:drawing>
          <wp:inline distT="0" distB="0" distL="0" distR="0" wp14:anchorId="08D2E574" wp14:editId="20A92AA4">
            <wp:extent cx="1266825" cy="194800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266825" cy="1948003"/>
                    </a:xfrm>
                    <a:prstGeom prst="rect">
                      <a:avLst/>
                    </a:prstGeom>
                  </pic:spPr>
                </pic:pic>
              </a:graphicData>
            </a:graphic>
          </wp:inline>
        </w:drawing>
      </w:r>
    </w:p>
    <w:p w14:paraId="557487F3" w14:textId="77777777" w:rsidR="0054231C" w:rsidRDefault="0054231C" w:rsidP="0054231C">
      <w:pPr>
        <w:pStyle w:val="ListParagraph"/>
        <w:rPr>
          <w:rFonts w:ascii="Corbel" w:hAnsi="Corbel" w:cs="Times New Roman"/>
          <w:sz w:val="28"/>
          <w:szCs w:val="28"/>
        </w:rPr>
      </w:pPr>
    </w:p>
    <w:p w14:paraId="729063CB" w14:textId="0E4C6A69" w:rsidR="0054231C" w:rsidRPr="00B74D33" w:rsidRDefault="0054231C" w:rsidP="00B74D33">
      <w:pPr>
        <w:pStyle w:val="ListParagraph"/>
        <w:numPr>
          <w:ilvl w:val="0"/>
          <w:numId w:val="12"/>
        </w:numPr>
        <w:rPr>
          <w:rFonts w:ascii="Corbel" w:hAnsi="Corbel" w:cs="Times New Roman"/>
          <w:sz w:val="28"/>
          <w:szCs w:val="28"/>
        </w:rPr>
      </w:pPr>
      <w:r w:rsidRPr="00B74D33">
        <w:rPr>
          <w:rFonts w:ascii="Corbel" w:hAnsi="Corbel" w:cs="Times New Roman"/>
          <w:sz w:val="28"/>
          <w:szCs w:val="28"/>
        </w:rPr>
        <w:t xml:space="preserve">Excellent Cochrane Review on Delayed Antibiotic Prescriptions for Respiratory Infections. </w:t>
      </w:r>
    </w:p>
    <w:p w14:paraId="14D5A7DA" w14:textId="583BAFD8" w:rsidR="0054231C" w:rsidRDefault="0054231C" w:rsidP="0054231C">
      <w:pPr>
        <w:pStyle w:val="ListParagraph"/>
        <w:numPr>
          <w:ilvl w:val="1"/>
          <w:numId w:val="7"/>
        </w:numPr>
        <w:rPr>
          <w:rFonts w:ascii="Corbel" w:hAnsi="Corbel" w:cs="Times New Roman"/>
          <w:sz w:val="28"/>
          <w:szCs w:val="28"/>
        </w:rPr>
      </w:pPr>
      <w:proofErr w:type="spellStart"/>
      <w:r>
        <w:rPr>
          <w:rFonts w:ascii="Corbel" w:hAnsi="Corbel" w:cs="Times New Roman"/>
          <w:sz w:val="28"/>
          <w:szCs w:val="28"/>
        </w:rPr>
        <w:t>Spurling</w:t>
      </w:r>
      <w:proofErr w:type="spellEnd"/>
      <w:r>
        <w:rPr>
          <w:rFonts w:ascii="Corbel" w:hAnsi="Corbel" w:cs="Times New Roman"/>
          <w:sz w:val="28"/>
          <w:szCs w:val="28"/>
        </w:rPr>
        <w:t xml:space="preserve">, GKP; Del Mar, CB; Dooley, L; </w:t>
      </w:r>
      <w:proofErr w:type="spellStart"/>
      <w:r>
        <w:rPr>
          <w:rFonts w:ascii="Corbel" w:hAnsi="Corbel" w:cs="Times New Roman"/>
          <w:sz w:val="28"/>
          <w:szCs w:val="28"/>
        </w:rPr>
        <w:t>Foxlee</w:t>
      </w:r>
      <w:proofErr w:type="spellEnd"/>
      <w:r>
        <w:rPr>
          <w:rFonts w:ascii="Corbel" w:hAnsi="Corbel" w:cs="Times New Roman"/>
          <w:sz w:val="28"/>
          <w:szCs w:val="28"/>
        </w:rPr>
        <w:t xml:space="preserve">, R; Farley R. Delayed Antibiotic Prescriptions for Respiratory Infections. Cochrane Database of Systematic Reviews. 2017. Issue 9. </w:t>
      </w:r>
    </w:p>
    <w:p w14:paraId="04D5C385" w14:textId="6D8102E5" w:rsidR="0054231C" w:rsidRDefault="0054231C" w:rsidP="0054231C">
      <w:pPr>
        <w:pStyle w:val="ListParagraph"/>
        <w:ind w:left="1440"/>
        <w:rPr>
          <w:rFonts w:ascii="Corbel" w:hAnsi="Corbel" w:cs="Times New Roman"/>
          <w:sz w:val="28"/>
          <w:szCs w:val="28"/>
        </w:rPr>
      </w:pPr>
      <w:r>
        <w:rPr>
          <w:noProof/>
        </w:rPr>
        <w:drawing>
          <wp:inline distT="0" distB="0" distL="0" distR="0" wp14:anchorId="0958FBE3" wp14:editId="0B5B829B">
            <wp:extent cx="3800475" cy="179889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800475" cy="1798892"/>
                    </a:xfrm>
                    <a:prstGeom prst="rect">
                      <a:avLst/>
                    </a:prstGeom>
                  </pic:spPr>
                </pic:pic>
              </a:graphicData>
            </a:graphic>
          </wp:inline>
        </w:drawing>
      </w:r>
    </w:p>
    <w:p w14:paraId="57A5186C" w14:textId="77777777" w:rsidR="0095053C" w:rsidRPr="0095053C" w:rsidRDefault="0095053C" w:rsidP="0095053C">
      <w:pPr>
        <w:pStyle w:val="ListParagraph"/>
        <w:rPr>
          <w:b/>
          <w:sz w:val="28"/>
          <w:szCs w:val="28"/>
        </w:rPr>
      </w:pPr>
    </w:p>
    <w:p w14:paraId="322C9BC5" w14:textId="77777777" w:rsidR="0080209A" w:rsidRPr="0095053C" w:rsidRDefault="0080209A" w:rsidP="0095053C">
      <w:pPr>
        <w:rPr>
          <w:rFonts w:ascii="Corbel" w:hAnsi="Corbel"/>
          <w:sz w:val="28"/>
          <w:szCs w:val="28"/>
        </w:rPr>
      </w:pPr>
    </w:p>
    <w:sectPr w:rsidR="0080209A" w:rsidRPr="00950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7F8E"/>
    <w:multiLevelType w:val="hybridMultilevel"/>
    <w:tmpl w:val="821CF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65BB7"/>
    <w:multiLevelType w:val="hybridMultilevel"/>
    <w:tmpl w:val="DE9CC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5E6C1D"/>
    <w:multiLevelType w:val="hybridMultilevel"/>
    <w:tmpl w:val="BC64C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9A6AD6"/>
    <w:multiLevelType w:val="hybridMultilevel"/>
    <w:tmpl w:val="51FA660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4A05A0"/>
    <w:multiLevelType w:val="hybridMultilevel"/>
    <w:tmpl w:val="E216E508"/>
    <w:lvl w:ilvl="0" w:tplc="207EF6D6">
      <w:start w:val="1"/>
      <w:numFmt w:val="bullet"/>
      <w:lvlText w:val="•"/>
      <w:lvlJc w:val="left"/>
      <w:pPr>
        <w:tabs>
          <w:tab w:val="num" w:pos="720"/>
        </w:tabs>
        <w:ind w:left="720" w:hanging="360"/>
      </w:pPr>
      <w:rPr>
        <w:rFonts w:ascii="Times New Roman" w:hAnsi="Times New Roman" w:hint="default"/>
      </w:rPr>
    </w:lvl>
    <w:lvl w:ilvl="1" w:tplc="38A0D610" w:tentative="1">
      <w:start w:val="1"/>
      <w:numFmt w:val="bullet"/>
      <w:lvlText w:val="•"/>
      <w:lvlJc w:val="left"/>
      <w:pPr>
        <w:tabs>
          <w:tab w:val="num" w:pos="1440"/>
        </w:tabs>
        <w:ind w:left="1440" w:hanging="360"/>
      </w:pPr>
      <w:rPr>
        <w:rFonts w:ascii="Times New Roman" w:hAnsi="Times New Roman" w:hint="default"/>
      </w:rPr>
    </w:lvl>
    <w:lvl w:ilvl="2" w:tplc="A5AADF90" w:tentative="1">
      <w:start w:val="1"/>
      <w:numFmt w:val="bullet"/>
      <w:lvlText w:val="•"/>
      <w:lvlJc w:val="left"/>
      <w:pPr>
        <w:tabs>
          <w:tab w:val="num" w:pos="2160"/>
        </w:tabs>
        <w:ind w:left="2160" w:hanging="360"/>
      </w:pPr>
      <w:rPr>
        <w:rFonts w:ascii="Times New Roman" w:hAnsi="Times New Roman" w:hint="default"/>
      </w:rPr>
    </w:lvl>
    <w:lvl w:ilvl="3" w:tplc="466AB0FC" w:tentative="1">
      <w:start w:val="1"/>
      <w:numFmt w:val="bullet"/>
      <w:lvlText w:val="•"/>
      <w:lvlJc w:val="left"/>
      <w:pPr>
        <w:tabs>
          <w:tab w:val="num" w:pos="2880"/>
        </w:tabs>
        <w:ind w:left="2880" w:hanging="360"/>
      </w:pPr>
      <w:rPr>
        <w:rFonts w:ascii="Times New Roman" w:hAnsi="Times New Roman" w:hint="default"/>
      </w:rPr>
    </w:lvl>
    <w:lvl w:ilvl="4" w:tplc="62108AB8" w:tentative="1">
      <w:start w:val="1"/>
      <w:numFmt w:val="bullet"/>
      <w:lvlText w:val="•"/>
      <w:lvlJc w:val="left"/>
      <w:pPr>
        <w:tabs>
          <w:tab w:val="num" w:pos="3600"/>
        </w:tabs>
        <w:ind w:left="3600" w:hanging="360"/>
      </w:pPr>
      <w:rPr>
        <w:rFonts w:ascii="Times New Roman" w:hAnsi="Times New Roman" w:hint="default"/>
      </w:rPr>
    </w:lvl>
    <w:lvl w:ilvl="5" w:tplc="163C685A" w:tentative="1">
      <w:start w:val="1"/>
      <w:numFmt w:val="bullet"/>
      <w:lvlText w:val="•"/>
      <w:lvlJc w:val="left"/>
      <w:pPr>
        <w:tabs>
          <w:tab w:val="num" w:pos="4320"/>
        </w:tabs>
        <w:ind w:left="4320" w:hanging="360"/>
      </w:pPr>
      <w:rPr>
        <w:rFonts w:ascii="Times New Roman" w:hAnsi="Times New Roman" w:hint="default"/>
      </w:rPr>
    </w:lvl>
    <w:lvl w:ilvl="6" w:tplc="C942781A" w:tentative="1">
      <w:start w:val="1"/>
      <w:numFmt w:val="bullet"/>
      <w:lvlText w:val="•"/>
      <w:lvlJc w:val="left"/>
      <w:pPr>
        <w:tabs>
          <w:tab w:val="num" w:pos="5040"/>
        </w:tabs>
        <w:ind w:left="5040" w:hanging="360"/>
      </w:pPr>
      <w:rPr>
        <w:rFonts w:ascii="Times New Roman" w:hAnsi="Times New Roman" w:hint="default"/>
      </w:rPr>
    </w:lvl>
    <w:lvl w:ilvl="7" w:tplc="DED4FB10" w:tentative="1">
      <w:start w:val="1"/>
      <w:numFmt w:val="bullet"/>
      <w:lvlText w:val="•"/>
      <w:lvlJc w:val="left"/>
      <w:pPr>
        <w:tabs>
          <w:tab w:val="num" w:pos="5760"/>
        </w:tabs>
        <w:ind w:left="5760" w:hanging="360"/>
      </w:pPr>
      <w:rPr>
        <w:rFonts w:ascii="Times New Roman" w:hAnsi="Times New Roman" w:hint="default"/>
      </w:rPr>
    </w:lvl>
    <w:lvl w:ilvl="8" w:tplc="3A2E6482" w:tentative="1">
      <w:start w:val="1"/>
      <w:numFmt w:val="bullet"/>
      <w:lvlText w:val="•"/>
      <w:lvlJc w:val="left"/>
      <w:pPr>
        <w:tabs>
          <w:tab w:val="num" w:pos="6480"/>
        </w:tabs>
        <w:ind w:left="6480" w:hanging="360"/>
      </w:pPr>
      <w:rPr>
        <w:rFonts w:ascii="Times New Roman" w:hAnsi="Times New Roman" w:hint="default"/>
      </w:rPr>
    </w:lvl>
  </w:abstractNum>
  <w:abstractNum w:abstractNumId="5">
    <w:nsid w:val="37E33E82"/>
    <w:multiLevelType w:val="hybridMultilevel"/>
    <w:tmpl w:val="F0DA8F6A"/>
    <w:lvl w:ilvl="0" w:tplc="FAD2DB6A">
      <w:numFmt w:val="bullet"/>
      <w:lvlText w:val="-"/>
      <w:lvlJc w:val="left"/>
      <w:pPr>
        <w:ind w:left="720" w:hanging="360"/>
      </w:pPr>
      <w:rPr>
        <w:rFonts w:ascii="Corbel" w:eastAsiaTheme="minorHAnsi"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6E7953"/>
    <w:multiLevelType w:val="hybridMultilevel"/>
    <w:tmpl w:val="80E8E1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B0B6D47"/>
    <w:multiLevelType w:val="hybridMultilevel"/>
    <w:tmpl w:val="3CAC0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920375"/>
    <w:multiLevelType w:val="hybridMultilevel"/>
    <w:tmpl w:val="0A9E9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E10E20"/>
    <w:multiLevelType w:val="hybridMultilevel"/>
    <w:tmpl w:val="38DA921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2C773D"/>
    <w:multiLevelType w:val="hybridMultilevel"/>
    <w:tmpl w:val="549EC9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8E9641A"/>
    <w:multiLevelType w:val="hybridMultilevel"/>
    <w:tmpl w:val="E5547E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0"/>
  </w:num>
  <w:num w:numId="4">
    <w:abstractNumId w:val="6"/>
  </w:num>
  <w:num w:numId="5">
    <w:abstractNumId w:val="0"/>
  </w:num>
  <w:num w:numId="6">
    <w:abstractNumId w:val="2"/>
  </w:num>
  <w:num w:numId="7">
    <w:abstractNumId w:val="9"/>
  </w:num>
  <w:num w:numId="8">
    <w:abstractNumId w:val="1"/>
  </w:num>
  <w:num w:numId="9">
    <w:abstractNumId w:val="4"/>
  </w:num>
  <w:num w:numId="10">
    <w:abstractNumId w:val="8"/>
  </w:num>
  <w:num w:numId="11">
    <w:abstractNumId w:val="7"/>
  </w:num>
  <w:num w:numId="12">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loebc@gmail.com">
    <w15:presenceInfo w15:providerId="Windows Live" w15:userId="fd83d25bd23359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7A207DC-9467-46F0-B0C9-F1E6C50A0C75}"/>
    <w:docVar w:name="dgnword-eventsink" w:val="106416720"/>
  </w:docVars>
  <w:rsids>
    <w:rsidRoot w:val="0084391C"/>
    <w:rsid w:val="00092FF7"/>
    <w:rsid w:val="000D6083"/>
    <w:rsid w:val="001637AE"/>
    <w:rsid w:val="00271373"/>
    <w:rsid w:val="002D4F3B"/>
    <w:rsid w:val="00345429"/>
    <w:rsid w:val="004542C8"/>
    <w:rsid w:val="004D4A9A"/>
    <w:rsid w:val="004E3E3C"/>
    <w:rsid w:val="0054231C"/>
    <w:rsid w:val="00545B9C"/>
    <w:rsid w:val="005D4FDE"/>
    <w:rsid w:val="00765DE2"/>
    <w:rsid w:val="00792EBC"/>
    <w:rsid w:val="007B3ED0"/>
    <w:rsid w:val="007D181A"/>
    <w:rsid w:val="0080209A"/>
    <w:rsid w:val="0084391C"/>
    <w:rsid w:val="00943280"/>
    <w:rsid w:val="0095053C"/>
    <w:rsid w:val="00977BC4"/>
    <w:rsid w:val="00983F99"/>
    <w:rsid w:val="009C3564"/>
    <w:rsid w:val="009E6D33"/>
    <w:rsid w:val="00A4505B"/>
    <w:rsid w:val="00A544D0"/>
    <w:rsid w:val="00AA76D8"/>
    <w:rsid w:val="00AC0BAD"/>
    <w:rsid w:val="00B74D33"/>
    <w:rsid w:val="00D05950"/>
    <w:rsid w:val="00D16707"/>
    <w:rsid w:val="00E3324F"/>
    <w:rsid w:val="00F04E3A"/>
    <w:rsid w:val="00F31911"/>
    <w:rsid w:val="00F56E75"/>
    <w:rsid w:val="00F65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E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3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91C"/>
    <w:rPr>
      <w:rFonts w:ascii="Tahoma" w:hAnsi="Tahoma" w:cs="Tahoma"/>
      <w:sz w:val="16"/>
      <w:szCs w:val="16"/>
    </w:rPr>
  </w:style>
  <w:style w:type="paragraph" w:styleId="ListParagraph">
    <w:name w:val="List Paragraph"/>
    <w:basedOn w:val="Normal"/>
    <w:uiPriority w:val="34"/>
    <w:qFormat/>
    <w:rsid w:val="00A544D0"/>
    <w:pPr>
      <w:ind w:left="720"/>
      <w:contextualSpacing/>
    </w:pPr>
  </w:style>
  <w:style w:type="table" w:styleId="TableGrid">
    <w:name w:val="Table Grid"/>
    <w:basedOn w:val="TableNormal"/>
    <w:uiPriority w:val="59"/>
    <w:rsid w:val="002D4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D4F3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0D6083"/>
    <w:rPr>
      <w:color w:val="0000FF"/>
      <w:u w:val="single"/>
    </w:rPr>
  </w:style>
  <w:style w:type="character" w:customStyle="1" w:styleId="pp-pub-journal1">
    <w:name w:val="pp-pub-journal1"/>
    <w:basedOn w:val="DefaultParagraphFont"/>
    <w:rsid w:val="0095053C"/>
    <w:rPr>
      <w:i/>
      <w:iCs/>
      <w:color w:val="008000"/>
    </w:rPr>
  </w:style>
  <w:style w:type="character" w:customStyle="1" w:styleId="pp-pub-year">
    <w:name w:val="pp-pub-year"/>
    <w:basedOn w:val="DefaultParagraphFont"/>
    <w:rsid w:val="0095053C"/>
  </w:style>
  <w:style w:type="character" w:customStyle="1" w:styleId="pp-pub-type1">
    <w:name w:val="pp-pub-type1"/>
    <w:basedOn w:val="DefaultParagraphFont"/>
    <w:rsid w:val="0095053C"/>
    <w:rPr>
      <w:color w:val="B3B3B3"/>
    </w:rPr>
  </w:style>
  <w:style w:type="character" w:customStyle="1" w:styleId="pp-pub-abstract-icon1">
    <w:name w:val="pp-pub-abstract-icon1"/>
    <w:basedOn w:val="DefaultParagraphFont"/>
    <w:rsid w:val="0095053C"/>
    <w:rPr>
      <w:color w:val="BFBFBF"/>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3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91C"/>
    <w:rPr>
      <w:rFonts w:ascii="Tahoma" w:hAnsi="Tahoma" w:cs="Tahoma"/>
      <w:sz w:val="16"/>
      <w:szCs w:val="16"/>
    </w:rPr>
  </w:style>
  <w:style w:type="paragraph" w:styleId="ListParagraph">
    <w:name w:val="List Paragraph"/>
    <w:basedOn w:val="Normal"/>
    <w:uiPriority w:val="34"/>
    <w:qFormat/>
    <w:rsid w:val="00A544D0"/>
    <w:pPr>
      <w:ind w:left="720"/>
      <w:contextualSpacing/>
    </w:pPr>
  </w:style>
  <w:style w:type="table" w:styleId="TableGrid">
    <w:name w:val="Table Grid"/>
    <w:basedOn w:val="TableNormal"/>
    <w:uiPriority w:val="59"/>
    <w:rsid w:val="002D4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D4F3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0D6083"/>
    <w:rPr>
      <w:color w:val="0000FF"/>
      <w:u w:val="single"/>
    </w:rPr>
  </w:style>
  <w:style w:type="character" w:customStyle="1" w:styleId="pp-pub-journal1">
    <w:name w:val="pp-pub-journal1"/>
    <w:basedOn w:val="DefaultParagraphFont"/>
    <w:rsid w:val="0095053C"/>
    <w:rPr>
      <w:i/>
      <w:iCs/>
      <w:color w:val="008000"/>
    </w:rPr>
  </w:style>
  <w:style w:type="character" w:customStyle="1" w:styleId="pp-pub-year">
    <w:name w:val="pp-pub-year"/>
    <w:basedOn w:val="DefaultParagraphFont"/>
    <w:rsid w:val="0095053C"/>
  </w:style>
  <w:style w:type="character" w:customStyle="1" w:styleId="pp-pub-type1">
    <w:name w:val="pp-pub-type1"/>
    <w:basedOn w:val="DefaultParagraphFont"/>
    <w:rsid w:val="0095053C"/>
    <w:rPr>
      <w:color w:val="B3B3B3"/>
    </w:rPr>
  </w:style>
  <w:style w:type="character" w:customStyle="1" w:styleId="pp-pub-abstract-icon1">
    <w:name w:val="pp-pub-abstract-icon1"/>
    <w:basedOn w:val="DefaultParagraphFont"/>
    <w:rsid w:val="0095053C"/>
    <w:rPr>
      <w:color w:val="BFBFBF"/>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363246">
      <w:bodyDiv w:val="1"/>
      <w:marLeft w:val="0"/>
      <w:marRight w:val="0"/>
      <w:marTop w:val="0"/>
      <w:marBottom w:val="0"/>
      <w:divBdr>
        <w:top w:val="none" w:sz="0" w:space="0" w:color="auto"/>
        <w:left w:val="none" w:sz="0" w:space="0" w:color="auto"/>
        <w:bottom w:val="none" w:sz="0" w:space="0" w:color="auto"/>
        <w:right w:val="none" w:sz="0" w:space="0" w:color="auto"/>
      </w:divBdr>
      <w:divsChild>
        <w:div w:id="84494368">
          <w:marLeft w:val="0"/>
          <w:marRight w:val="0"/>
          <w:marTop w:val="0"/>
          <w:marBottom w:val="0"/>
          <w:divBdr>
            <w:top w:val="none" w:sz="0" w:space="0" w:color="auto"/>
            <w:left w:val="none" w:sz="0" w:space="0" w:color="auto"/>
            <w:bottom w:val="none" w:sz="0" w:space="0" w:color="auto"/>
            <w:right w:val="none" w:sz="0" w:space="0" w:color="auto"/>
          </w:divBdr>
          <w:divsChild>
            <w:div w:id="1953127807">
              <w:marLeft w:val="0"/>
              <w:marRight w:val="0"/>
              <w:marTop w:val="0"/>
              <w:marBottom w:val="0"/>
              <w:divBdr>
                <w:top w:val="none" w:sz="0" w:space="0" w:color="auto"/>
                <w:left w:val="none" w:sz="0" w:space="0" w:color="auto"/>
                <w:bottom w:val="none" w:sz="0" w:space="0" w:color="auto"/>
                <w:right w:val="none" w:sz="0" w:space="0" w:color="auto"/>
              </w:divBdr>
              <w:divsChild>
                <w:div w:id="1150558750">
                  <w:marLeft w:val="0"/>
                  <w:marRight w:val="0"/>
                  <w:marTop w:val="0"/>
                  <w:marBottom w:val="0"/>
                  <w:divBdr>
                    <w:top w:val="none" w:sz="0" w:space="0" w:color="auto"/>
                    <w:left w:val="none" w:sz="0" w:space="0" w:color="auto"/>
                    <w:bottom w:val="none" w:sz="0" w:space="0" w:color="auto"/>
                    <w:right w:val="none" w:sz="0" w:space="0" w:color="auto"/>
                  </w:divBdr>
                  <w:divsChild>
                    <w:div w:id="560218191">
                      <w:marLeft w:val="0"/>
                      <w:marRight w:val="0"/>
                      <w:marTop w:val="0"/>
                      <w:marBottom w:val="0"/>
                      <w:divBdr>
                        <w:top w:val="none" w:sz="0" w:space="0" w:color="auto"/>
                        <w:left w:val="none" w:sz="0" w:space="0" w:color="auto"/>
                        <w:bottom w:val="none" w:sz="0" w:space="0" w:color="auto"/>
                        <w:right w:val="none" w:sz="0" w:space="0" w:color="auto"/>
                      </w:divBdr>
                      <w:divsChild>
                        <w:div w:id="918559213">
                          <w:marLeft w:val="0"/>
                          <w:marRight w:val="0"/>
                          <w:marTop w:val="0"/>
                          <w:marBottom w:val="0"/>
                          <w:divBdr>
                            <w:top w:val="none" w:sz="0" w:space="0" w:color="auto"/>
                            <w:left w:val="none" w:sz="0" w:space="0" w:color="auto"/>
                            <w:bottom w:val="none" w:sz="0" w:space="0" w:color="auto"/>
                            <w:right w:val="none" w:sz="0" w:space="0" w:color="auto"/>
                          </w:divBdr>
                          <w:divsChild>
                            <w:div w:id="1068578251">
                              <w:marLeft w:val="0"/>
                              <w:marRight w:val="0"/>
                              <w:marTop w:val="0"/>
                              <w:marBottom w:val="0"/>
                              <w:divBdr>
                                <w:top w:val="none" w:sz="0" w:space="0" w:color="auto"/>
                                <w:left w:val="none" w:sz="0" w:space="0" w:color="auto"/>
                                <w:bottom w:val="none" w:sz="0" w:space="0" w:color="auto"/>
                                <w:right w:val="none" w:sz="0" w:space="0" w:color="auto"/>
                              </w:divBdr>
                              <w:divsChild>
                                <w:div w:id="1597983527">
                                  <w:marLeft w:val="0"/>
                                  <w:marRight w:val="0"/>
                                  <w:marTop w:val="225"/>
                                  <w:marBottom w:val="225"/>
                                  <w:divBdr>
                                    <w:top w:val="none" w:sz="0" w:space="0" w:color="auto"/>
                                    <w:left w:val="none" w:sz="0" w:space="0" w:color="auto"/>
                                    <w:bottom w:val="none" w:sz="0" w:space="0" w:color="auto"/>
                                    <w:right w:val="none" w:sz="0" w:space="0" w:color="auto"/>
                                  </w:divBdr>
                                  <w:divsChild>
                                    <w:div w:id="1050423467">
                                      <w:marLeft w:val="0"/>
                                      <w:marRight w:val="0"/>
                                      <w:marTop w:val="0"/>
                                      <w:marBottom w:val="0"/>
                                      <w:divBdr>
                                        <w:top w:val="none" w:sz="0" w:space="0" w:color="auto"/>
                                        <w:left w:val="none" w:sz="0" w:space="0" w:color="auto"/>
                                        <w:bottom w:val="none" w:sz="0" w:space="0" w:color="auto"/>
                                        <w:right w:val="none" w:sz="0" w:space="0" w:color="auto"/>
                                      </w:divBdr>
                                    </w:div>
                                    <w:div w:id="565607415">
                                      <w:marLeft w:val="0"/>
                                      <w:marRight w:val="0"/>
                                      <w:marTop w:val="0"/>
                                      <w:marBottom w:val="0"/>
                                      <w:divBdr>
                                        <w:top w:val="none" w:sz="0" w:space="0" w:color="auto"/>
                                        <w:left w:val="none" w:sz="0" w:space="0" w:color="auto"/>
                                        <w:bottom w:val="none" w:sz="0" w:space="0" w:color="auto"/>
                                        <w:right w:val="none" w:sz="0" w:space="0" w:color="auto"/>
                                      </w:divBdr>
                                    </w:div>
                                    <w:div w:id="1310016763">
                                      <w:marLeft w:val="0"/>
                                      <w:marRight w:val="0"/>
                                      <w:marTop w:val="0"/>
                                      <w:marBottom w:val="0"/>
                                      <w:divBdr>
                                        <w:top w:val="none" w:sz="0" w:space="0" w:color="auto"/>
                                        <w:left w:val="none" w:sz="0" w:space="0" w:color="auto"/>
                                        <w:bottom w:val="none" w:sz="0" w:space="0" w:color="auto"/>
                                        <w:right w:val="none" w:sz="0" w:space="0" w:color="auto"/>
                                      </w:divBdr>
                                    </w:div>
                                    <w:div w:id="165736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724554">
      <w:bodyDiv w:val="1"/>
      <w:marLeft w:val="0"/>
      <w:marRight w:val="0"/>
      <w:marTop w:val="0"/>
      <w:marBottom w:val="0"/>
      <w:divBdr>
        <w:top w:val="none" w:sz="0" w:space="0" w:color="auto"/>
        <w:left w:val="none" w:sz="0" w:space="0" w:color="auto"/>
        <w:bottom w:val="none" w:sz="0" w:space="0" w:color="auto"/>
        <w:right w:val="none" w:sz="0" w:space="0" w:color="auto"/>
      </w:divBdr>
      <w:divsChild>
        <w:div w:id="707418471">
          <w:marLeft w:val="0"/>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antibiotic-use/community/materials-references/print-materials/hcp/index.html"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cdc.gov/antibiotic-use/community/improving-prescribing/evidence/dataforactionaction.html"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yperlink" Target="https://www.cdc.gov/antibiotic-use/community/index.htm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8063322ECD2A4C836D2589E489F290" ma:contentTypeVersion="4" ma:contentTypeDescription="Create a new document." ma:contentTypeScope="" ma:versionID="87d255104f8536b5b85e366e31c232d6">
  <xsd:schema xmlns:xsd="http://www.w3.org/2001/XMLSchema" xmlns:xs="http://www.w3.org/2001/XMLSchema" xmlns:p="http://schemas.microsoft.com/office/2006/metadata/properties" xmlns:ns2="eacaa5ce-4b13-4929-997a-fd8c1bfe780a" xmlns:ns3="69aa3883-b251-412e-bf1d-acb3217d06af" targetNamespace="http://schemas.microsoft.com/office/2006/metadata/properties" ma:root="true" ma:fieldsID="4c8521088e9a5bdd28cc23b4085936d8" ns2:_="" ns3:_="">
    <xsd:import namespace="eacaa5ce-4b13-4929-997a-fd8c1bfe780a"/>
    <xsd:import namespace="69aa3883-b251-412e-bf1d-acb3217d06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aa5ce-4b13-4929-997a-fd8c1bfe78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aa3883-b251-412e-bf1d-acb3217d06a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E6D227-FFD5-44BF-BF79-1EACF0D01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aa5ce-4b13-4929-997a-fd8c1bfe780a"/>
    <ds:schemaRef ds:uri="69aa3883-b251-412e-bf1d-acb3217d0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E6AB2B-DA3E-4AB7-8FEF-6975191240A6}">
  <ds:schemaRefs>
    <ds:schemaRef ds:uri="http://schemas.microsoft.com/sharepoint/v3/contenttype/forms"/>
  </ds:schemaRefs>
</ds:datastoreItem>
</file>

<file path=customXml/itemProps3.xml><?xml version="1.0" encoding="utf-8"?>
<ds:datastoreItem xmlns:ds="http://schemas.openxmlformats.org/officeDocument/2006/customXml" ds:itemID="{32B2EA37-27D1-4A96-B583-D61C334597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Lynch, John B</dc:creator>
  <cp:lastModifiedBy>Wright, Theodore C</cp:lastModifiedBy>
  <cp:revision>3</cp:revision>
  <dcterms:created xsi:type="dcterms:W3CDTF">2018-03-08T18:51:00Z</dcterms:created>
  <dcterms:modified xsi:type="dcterms:W3CDTF">2018-03-08T18:55:00Z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0x010100508063322ECD2A4C836D2589E489F290</vt:lpwstr>
  </property>
</Properties>
</file>