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w:rsidRPr="002F40F7" w:rsidR="009E6D33" w:rsidP="00A544D0" w:rsidRDefault="0084391C" w14:paraId="3F982842" w14:textId="77777777">
      <w:pPr>
        <w:jc w:val="center"/>
        <w:rPr>
          <w:rFonts w:ascii="Arial" w:hAnsi="Arial" w:cs="Arial"/>
          <w:sz w:val="24"/>
          <w:szCs w:val="24"/>
        </w:rPr>
      </w:pPr>
      <w:r w:rsidRPr="002F40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460AC14" wp14:editId="3BB68176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AutoShape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W TASP_LogoExploration_RGB_Color.jpg" o:spid="_x0000_s1026" filled="f" stroked="f" w14:anchorId="13AF22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>
                <o:lock v:ext="edit" aspectratio="t"/>
                <w10:anchorlock/>
              </v:rect>
            </w:pict>
          </mc:Fallback>
        </mc:AlternateContent>
      </w:r>
      <w:r w:rsidRPr="002F40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9171FE" wp14:editId="5DCF0D37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40F7" w:rsidR="00A544D0" w:rsidP="00A544D0" w:rsidRDefault="008851F3" w14:paraId="4B4D3DCC" w14:textId="01BA1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Session Summary for 29</w:t>
      </w:r>
      <w:r w:rsidR="00B81A15">
        <w:rPr>
          <w:rFonts w:ascii="Arial" w:hAnsi="Arial" w:cs="Arial"/>
          <w:sz w:val="24"/>
          <w:szCs w:val="24"/>
        </w:rPr>
        <w:t xml:space="preserve"> May, 2018</w:t>
      </w:r>
    </w:p>
    <w:p w:rsidR="00983F99" w:rsidP="004E3E3C" w:rsidRDefault="00AD587A" w14:paraId="22CAE07B" w14:textId="5FCA2BA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Didactic: </w:t>
      </w:r>
      <w:r w:rsidR="003B4AAD">
        <w:rPr>
          <w:rFonts w:ascii="Arial" w:hAnsi="Arial" w:cs="Arial"/>
          <w:sz w:val="24"/>
          <w:szCs w:val="24"/>
          <w:u w:val="single"/>
        </w:rPr>
        <w:t>Rabies, John Lynch</w:t>
      </w:r>
      <w:r w:rsidR="004E3599">
        <w:rPr>
          <w:rFonts w:ascii="Arial" w:hAnsi="Arial" w:cs="Arial"/>
          <w:sz w:val="24"/>
          <w:szCs w:val="24"/>
          <w:u w:val="single"/>
        </w:rPr>
        <w:t>, MD</w:t>
      </w:r>
      <w:r w:rsidRPr="002F40F7" w:rsidR="004E3E3C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3B4AAD" w:rsidP="003B4AAD" w:rsidRDefault="003B4AAD" w14:paraId="69F9BA8C" w14:textId="0B70153A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Rabies:</w:t>
      </w:r>
    </w:p>
    <w:p w:rsidR="003B4AAD" w:rsidP="003B4AAD" w:rsidRDefault="003B4AAD" w14:paraId="753EF5FE" w14:textId="0382E612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RNA virus in the </w:t>
      </w:r>
      <w:proofErr w:type="spellStart"/>
      <w:r>
        <w:rPr>
          <w:sz w:val="24"/>
          <w:szCs w:val="24"/>
        </w:rPr>
        <w:t>Rhabdoviradae</w:t>
      </w:r>
      <w:proofErr w:type="spellEnd"/>
      <w:r>
        <w:rPr>
          <w:sz w:val="24"/>
          <w:szCs w:val="24"/>
        </w:rPr>
        <w:t xml:space="preserve"> family. </w:t>
      </w:r>
    </w:p>
    <w:p w:rsidR="003B4AAD" w:rsidP="003B4AAD" w:rsidRDefault="003B4AAD" w14:paraId="65EB0099" w14:textId="38D109F4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Transmitted by contact with saliva, not blood, feces, or urine. </w:t>
      </w:r>
    </w:p>
    <w:p w:rsidR="003B4AAD" w:rsidP="003B4AAD" w:rsidRDefault="003B4AAD" w14:paraId="4FC0F703" w14:textId="76CDA7C9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Rare cases of human to human transmission in transplanted organs. </w:t>
      </w:r>
    </w:p>
    <w:p w:rsidR="003B4AAD" w:rsidP="2CA51998" w:rsidRDefault="003B4AAD" w14:paraId="4AAAC8B9" w14:noSpellErr="1" w14:textId="579C7C27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2CA51998" w:rsidR="2CA51998">
        <w:rPr>
          <w:sz w:val="24"/>
          <w:szCs w:val="24"/>
        </w:rPr>
        <w:t>Path</w:t>
      </w:r>
      <w:r w:rsidRPr="2CA51998" w:rsidR="2CA51998">
        <w:rPr>
          <w:sz w:val="24"/>
          <w:szCs w:val="24"/>
        </w:rPr>
        <w:t>ophysiology</w:t>
      </w:r>
      <w:r w:rsidRPr="2CA51998" w:rsidR="2CA51998">
        <w:rPr>
          <w:sz w:val="24"/>
          <w:szCs w:val="24"/>
        </w:rPr>
        <w:t>:</w:t>
      </w:r>
    </w:p>
    <w:p w:rsidR="003B4AAD" w:rsidP="2CA51998" w:rsidRDefault="003B4AAD" w14:paraId="14E3410B" w14:noSpellErr="1" w14:textId="1E0FEEEC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2CA51998" w:rsidR="2CA51998">
        <w:rPr>
          <w:sz w:val="24"/>
          <w:szCs w:val="24"/>
        </w:rPr>
        <w:t>Animal bitte</w:t>
      </w:r>
      <w:r w:rsidRPr="2CA51998" w:rsidR="2CA51998">
        <w:rPr>
          <w:sz w:val="24"/>
          <w:szCs w:val="24"/>
        </w:rPr>
        <w:t>n</w:t>
      </w:r>
      <w:r w:rsidRPr="2CA51998" w:rsidR="2CA51998">
        <w:rPr>
          <w:sz w:val="24"/>
          <w:szCs w:val="24"/>
        </w:rPr>
        <w:t xml:space="preserve"> by a rabid animal and the virus enters the infected wound </w:t>
      </w:r>
      <w:r w:rsidRPr="2CA51998" w:rsidR="2CA51998">
        <w:rPr>
          <w:sz w:val="24"/>
          <w:szCs w:val="24"/>
        </w:rPr>
        <w:t>from infected saliva</w:t>
      </w:r>
      <w:r w:rsidRPr="2CA51998" w:rsidR="2CA51998">
        <w:rPr>
          <w:sz w:val="24"/>
          <w:szCs w:val="24"/>
        </w:rPr>
        <w:t xml:space="preserve">. Rabies virus travels through nerves to the spinal cord and this period takes 3-12 </w:t>
      </w:r>
      <w:r w:rsidRPr="2CA51998" w:rsidR="2CA51998">
        <w:rPr>
          <w:sz w:val="24"/>
          <w:szCs w:val="24"/>
        </w:rPr>
        <w:t>weeks</w:t>
      </w:r>
      <w:r w:rsidRPr="2CA51998" w:rsidR="2CA51998">
        <w:rPr>
          <w:sz w:val="24"/>
          <w:szCs w:val="24"/>
        </w:rPr>
        <w:t xml:space="preserve"> </w:t>
      </w:r>
      <w:r w:rsidRPr="2CA51998" w:rsidR="2CA51998">
        <w:rPr>
          <w:sz w:val="24"/>
          <w:szCs w:val="24"/>
        </w:rPr>
        <w:t>(</w:t>
      </w:r>
      <w:r w:rsidRPr="2CA51998" w:rsidR="2CA51998">
        <w:rPr>
          <w:sz w:val="24"/>
          <w:szCs w:val="24"/>
        </w:rPr>
        <w:t xml:space="preserve">incubation period). When the virus reaches the </w:t>
      </w:r>
      <w:r w:rsidRPr="2CA51998" w:rsidR="2CA51998">
        <w:rPr>
          <w:sz w:val="24"/>
          <w:szCs w:val="24"/>
        </w:rPr>
        <w:t>brain</w:t>
      </w:r>
      <w:r w:rsidRPr="2CA51998" w:rsidR="2CA51998">
        <w:rPr>
          <w:sz w:val="24"/>
          <w:szCs w:val="24"/>
        </w:rPr>
        <w:t xml:space="preserve">, </w:t>
      </w:r>
      <w:r w:rsidRPr="2CA51998" w:rsidR="2CA51998">
        <w:rPr>
          <w:sz w:val="24"/>
          <w:szCs w:val="24"/>
        </w:rPr>
        <w:t>symptoms</w:t>
      </w:r>
      <w:r w:rsidRPr="2CA51998" w:rsidR="2CA51998">
        <w:rPr>
          <w:sz w:val="24"/>
          <w:szCs w:val="24"/>
        </w:rPr>
        <w:t xml:space="preserve"> begin and death usually occurs within 7 days of</w:t>
      </w:r>
      <w:r w:rsidRPr="2CA51998" w:rsidR="2CA51998">
        <w:rPr>
          <w:sz w:val="24"/>
          <w:szCs w:val="24"/>
        </w:rPr>
        <w:t xml:space="preserve"> symptoms </w:t>
      </w:r>
      <w:r w:rsidRPr="2CA51998" w:rsidR="2CA51998">
        <w:rPr>
          <w:sz w:val="24"/>
          <w:szCs w:val="24"/>
        </w:rPr>
        <w:t>onset</w:t>
      </w:r>
      <w:r w:rsidRPr="2CA51998" w:rsidR="2CA51998">
        <w:rPr>
          <w:sz w:val="24"/>
          <w:szCs w:val="24"/>
        </w:rPr>
        <w:t xml:space="preserve">. </w:t>
      </w:r>
    </w:p>
    <w:p w:rsidR="003B4AAD" w:rsidP="003B4AAD" w:rsidRDefault="003B4AAD" w14:paraId="4F79C185" w14:textId="01000EC8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92% of all rabies cases in the US are diagnosed in animals, with 7.6% in domestic animals. </w:t>
      </w:r>
    </w:p>
    <w:p w:rsidR="003B4AAD" w:rsidP="2CA51998" w:rsidRDefault="003B4AAD" w14:paraId="3E348C88" w14:noSpellErr="1" w14:textId="6662E2C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2CA51998" w:rsidR="2CA51998">
        <w:rPr>
          <w:sz w:val="24"/>
          <w:szCs w:val="24"/>
        </w:rPr>
        <w:t>2-3 humans/year in the US die of rabies and we spend ~</w:t>
      </w:r>
      <w:r w:rsidRPr="2CA51998" w:rsidR="2CA51998">
        <w:rPr>
          <w:sz w:val="24"/>
          <w:szCs w:val="24"/>
        </w:rPr>
        <w:t>$</w:t>
      </w:r>
      <w:r w:rsidRPr="2CA51998" w:rsidR="2CA51998">
        <w:rPr>
          <w:sz w:val="24"/>
          <w:szCs w:val="24"/>
        </w:rPr>
        <w:t>300</w:t>
      </w:r>
      <w:r w:rsidRPr="2CA51998" w:rsidR="2CA51998">
        <w:rPr>
          <w:sz w:val="24"/>
          <w:szCs w:val="24"/>
        </w:rPr>
        <w:t xml:space="preserve"> </w:t>
      </w:r>
      <w:r w:rsidRPr="2CA51998" w:rsidR="2CA51998">
        <w:rPr>
          <w:sz w:val="24"/>
          <w:szCs w:val="24"/>
        </w:rPr>
        <w:t>million per year on prevention.</w:t>
      </w:r>
    </w:p>
    <w:p w:rsidR="003B4AAD" w:rsidP="2CA51998" w:rsidRDefault="003B4AAD" w14:paraId="7A43CC2B" w14:noSpellErr="1" w14:textId="70FBA10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2CA51998" w:rsidR="2CA51998">
        <w:rPr>
          <w:sz w:val="24"/>
          <w:szCs w:val="24"/>
        </w:rPr>
        <w:t>Globally 90% of rabies is in dogs and 99%</w:t>
      </w:r>
      <w:r w:rsidRPr="2CA51998" w:rsidR="2CA51998">
        <w:rPr>
          <w:sz w:val="24"/>
          <w:szCs w:val="24"/>
        </w:rPr>
        <w:t xml:space="preserve"> </w:t>
      </w:r>
      <w:r w:rsidRPr="2CA51998" w:rsidR="2CA51998">
        <w:rPr>
          <w:sz w:val="24"/>
          <w:szCs w:val="24"/>
        </w:rPr>
        <w:t xml:space="preserve">of </w:t>
      </w:r>
      <w:r w:rsidRPr="2CA51998" w:rsidR="2CA51998">
        <w:rPr>
          <w:sz w:val="24"/>
          <w:szCs w:val="24"/>
        </w:rPr>
        <w:t xml:space="preserve">human </w:t>
      </w:r>
      <w:r w:rsidRPr="2CA51998" w:rsidR="2CA51998">
        <w:rPr>
          <w:sz w:val="24"/>
          <w:szCs w:val="24"/>
        </w:rPr>
        <w:t>deaths are due to dog</w:t>
      </w:r>
      <w:r w:rsidRPr="2CA51998" w:rsidR="2CA51998">
        <w:rPr>
          <w:sz w:val="24"/>
          <w:szCs w:val="24"/>
        </w:rPr>
        <w:t xml:space="preserve"> bite exposures</w:t>
      </w:r>
      <w:r w:rsidRPr="2CA51998" w:rsidR="2CA51998">
        <w:rPr>
          <w:sz w:val="24"/>
          <w:szCs w:val="24"/>
        </w:rPr>
        <w:t xml:space="preserve">. </w:t>
      </w:r>
    </w:p>
    <w:p w:rsidR="003B4AAD" w:rsidP="003B4AAD" w:rsidRDefault="003B4AAD" w14:paraId="15948C76" w14:textId="0777A0F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Post-exposure prophylaxis:</w:t>
      </w:r>
    </w:p>
    <w:p w:rsidR="003B4AAD" w:rsidP="2CA51998" w:rsidRDefault="003B4AAD" w14:paraId="4732EB3F" w14:noSpellErr="1" w14:textId="13B7A929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2CA51998" w:rsidR="2CA51998">
        <w:rPr>
          <w:sz w:val="24"/>
          <w:szCs w:val="24"/>
        </w:rPr>
        <w:t>R</w:t>
      </w:r>
      <w:r w:rsidRPr="2CA51998" w:rsidR="2CA51998">
        <w:rPr>
          <w:sz w:val="24"/>
          <w:szCs w:val="24"/>
        </w:rPr>
        <w:t xml:space="preserve">abies </w:t>
      </w:r>
      <w:r w:rsidRPr="2CA51998" w:rsidR="2CA51998">
        <w:rPr>
          <w:sz w:val="24"/>
          <w:szCs w:val="24"/>
        </w:rPr>
        <w:t>Immune G</w:t>
      </w:r>
      <w:r w:rsidRPr="2CA51998" w:rsidR="2CA51998">
        <w:rPr>
          <w:sz w:val="24"/>
          <w:szCs w:val="24"/>
        </w:rPr>
        <w:t>lobulin</w:t>
      </w:r>
      <w:r w:rsidRPr="2CA51998" w:rsidR="2CA51998">
        <w:rPr>
          <w:sz w:val="24"/>
          <w:szCs w:val="24"/>
        </w:rPr>
        <w:t xml:space="preserve"> (RIG)</w:t>
      </w:r>
      <w:r w:rsidRPr="2CA51998" w:rsidR="2CA51998">
        <w:rPr>
          <w:sz w:val="24"/>
          <w:szCs w:val="24"/>
        </w:rPr>
        <w:t xml:space="preserve"> </w:t>
      </w:r>
      <w:r w:rsidRPr="2CA51998" w:rsidR="2CA51998">
        <w:rPr>
          <w:sz w:val="24"/>
          <w:szCs w:val="24"/>
        </w:rPr>
        <w:t>on day 0</w:t>
      </w:r>
    </w:p>
    <w:p w:rsidR="003B4AAD" w:rsidP="003B4AAD" w:rsidRDefault="003B4AAD" w14:paraId="1366C560" w14:textId="5B0D4760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20 IU/kg body weight. Administer as much as possible at the bite site. </w:t>
      </w:r>
    </w:p>
    <w:p w:rsidR="003B4AAD" w:rsidP="2CA51998" w:rsidRDefault="003B4AAD" w14:paraId="128A3483" w14:noSpellErr="1" w14:textId="1395D1C6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2CA51998" w:rsidR="2CA51998">
        <w:rPr>
          <w:sz w:val="24"/>
          <w:szCs w:val="24"/>
        </w:rPr>
        <w:t xml:space="preserve">Vaccine: administer in the deltoid on the </w:t>
      </w:r>
      <w:r w:rsidRPr="2CA51998" w:rsidR="2CA51998">
        <w:rPr>
          <w:sz w:val="24"/>
          <w:szCs w:val="24"/>
        </w:rPr>
        <w:t xml:space="preserve">side </w:t>
      </w:r>
      <w:r w:rsidRPr="2CA51998" w:rsidR="2CA51998">
        <w:rPr>
          <w:sz w:val="24"/>
          <w:szCs w:val="24"/>
        </w:rPr>
        <w:t>contralateral to</w:t>
      </w:r>
      <w:r w:rsidRPr="2CA51998" w:rsidR="2CA51998">
        <w:rPr>
          <w:sz w:val="24"/>
          <w:szCs w:val="24"/>
        </w:rPr>
        <w:t xml:space="preserve"> </w:t>
      </w:r>
      <w:r w:rsidRPr="2CA51998" w:rsidR="2CA51998">
        <w:rPr>
          <w:sz w:val="24"/>
          <w:szCs w:val="24"/>
        </w:rPr>
        <w:t>t</w:t>
      </w:r>
      <w:r w:rsidRPr="2CA51998" w:rsidR="2CA51998">
        <w:rPr>
          <w:sz w:val="24"/>
          <w:szCs w:val="24"/>
        </w:rPr>
        <w:t xml:space="preserve">he </w:t>
      </w:r>
      <w:r w:rsidRPr="2CA51998" w:rsidR="2CA51998">
        <w:rPr>
          <w:sz w:val="24"/>
          <w:szCs w:val="24"/>
        </w:rPr>
        <w:t>RIG injection site</w:t>
      </w:r>
      <w:r w:rsidRPr="2CA51998" w:rsidR="2CA51998">
        <w:rPr>
          <w:sz w:val="24"/>
          <w:szCs w:val="24"/>
        </w:rPr>
        <w:t>. Never inject in the gluteal</w:t>
      </w:r>
      <w:r w:rsidRPr="2CA51998" w:rsidR="2CA51998">
        <w:rPr>
          <w:sz w:val="24"/>
          <w:szCs w:val="24"/>
        </w:rPr>
        <w:t xml:space="preserve"> or on the same side as RIG was administered</w:t>
      </w:r>
      <w:r w:rsidRPr="2CA51998" w:rsidR="2CA51998">
        <w:rPr>
          <w:sz w:val="24"/>
          <w:szCs w:val="24"/>
        </w:rPr>
        <w:t xml:space="preserve">. Give on days 0, 3, 7, 14. </w:t>
      </w:r>
    </w:p>
    <w:p w:rsidR="003B4AAD" w:rsidP="2CA51998" w:rsidRDefault="003B4AAD" w14:paraId="398092E0" w14:noSpellErr="1" w14:textId="74B7E25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2CA51998" w:rsidR="2CA51998">
        <w:rPr>
          <w:sz w:val="24"/>
          <w:szCs w:val="24"/>
        </w:rPr>
        <w:t xml:space="preserve">In Washington </w:t>
      </w:r>
      <w:r w:rsidRPr="2CA51998" w:rsidR="2CA51998">
        <w:rPr>
          <w:sz w:val="24"/>
          <w:szCs w:val="24"/>
        </w:rPr>
        <w:t>State</w:t>
      </w:r>
      <w:r w:rsidRPr="2CA51998" w:rsidR="2CA51998">
        <w:rPr>
          <w:sz w:val="24"/>
          <w:szCs w:val="24"/>
        </w:rPr>
        <w:t xml:space="preserve">, </w:t>
      </w:r>
      <w:r w:rsidRPr="2CA51998" w:rsidR="2CA51998">
        <w:rPr>
          <w:sz w:val="24"/>
          <w:szCs w:val="24"/>
        </w:rPr>
        <w:t xml:space="preserve">rabies is found in bats almost exclusively! No cases of dog rabies in Washington state. </w:t>
      </w:r>
      <w:bookmarkStart w:name="_GoBack" w:id="0"/>
      <w:bookmarkEnd w:id="0"/>
    </w:p>
    <w:p w:rsidRPr="003B4AAD" w:rsidR="003B4AAD" w:rsidP="2CA51998" w:rsidRDefault="003B4AAD" w14:paraId="7CB66C0D" w14:noSpellErr="1" w14:textId="09ED7F2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2CA51998" w:rsidR="2CA51998">
        <w:rPr>
          <w:b w:val="1"/>
          <w:bCs w:val="1"/>
          <w:sz w:val="24"/>
          <w:szCs w:val="24"/>
        </w:rPr>
        <w:t xml:space="preserve">ALWAYS CALL THE PUBLIC HEALTH DEPARTMENT WHEN EVALUATING AND TREATING A POSSIBLE RABIES EXPOSURE. </w:t>
      </w:r>
      <w:r w:rsidRPr="2CA51998" w:rsidR="2CA51998">
        <w:rPr>
          <w:b w:val="1"/>
          <w:bCs w:val="1"/>
          <w:sz w:val="24"/>
          <w:szCs w:val="24"/>
        </w:rPr>
        <w:t xml:space="preserve">This is required by law and very helpful. </w:t>
      </w:r>
    </w:p>
    <w:p w:rsidR="003B4AAD" w:rsidP="003B4AAD" w:rsidRDefault="003B4AAD" w14:paraId="22AC4D7B" w14:textId="4EC332F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PEP Dos and Don’ts:</w:t>
      </w:r>
    </w:p>
    <w:p w:rsidR="003B4AAD" w:rsidP="003B4AAD" w:rsidRDefault="003B4AAD" w14:paraId="50F1291E" w14:textId="0B1BFF04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DO:</w:t>
      </w:r>
    </w:p>
    <w:p w:rsidR="003B4AAD" w:rsidP="003B4AAD" w:rsidRDefault="003B4AAD" w14:paraId="31865FF5" w14:textId="0F379BDE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Inject RIG into area of exposure. </w:t>
      </w:r>
    </w:p>
    <w:p w:rsidR="003B4AAD" w:rsidP="003B4AAD" w:rsidRDefault="003B4AAD" w14:paraId="4C12FB18" w14:textId="72928975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Inject RIG and vaccine into different areas on opposite sides of the body. </w:t>
      </w:r>
    </w:p>
    <w:p w:rsidR="003B4AAD" w:rsidP="2CA51998" w:rsidRDefault="003B4AAD" w14:paraId="63634673" w14:noSpellErr="1" w14:textId="04BB07C9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2CA51998" w:rsidR="2CA51998">
        <w:rPr>
          <w:sz w:val="24"/>
          <w:szCs w:val="24"/>
        </w:rPr>
        <w:t>Delay wound closure to en</w:t>
      </w:r>
      <w:r w:rsidRPr="2CA51998" w:rsidR="2CA51998">
        <w:rPr>
          <w:sz w:val="24"/>
          <w:szCs w:val="24"/>
        </w:rPr>
        <w:t>s</w:t>
      </w:r>
      <w:r w:rsidRPr="2CA51998" w:rsidR="2CA51998">
        <w:rPr>
          <w:sz w:val="24"/>
          <w:szCs w:val="24"/>
        </w:rPr>
        <w:t xml:space="preserve">ure RIG injection into wound first. </w:t>
      </w:r>
    </w:p>
    <w:p w:rsidR="003B4AAD" w:rsidP="2CA51998" w:rsidRDefault="003B4AAD" w14:paraId="7AB04BFB" w14:noSpellErr="1" w14:textId="5CEC43DD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2CA51998" w:rsidR="2CA51998">
        <w:rPr>
          <w:sz w:val="24"/>
          <w:szCs w:val="24"/>
        </w:rPr>
        <w:t>Measure R</w:t>
      </w:r>
      <w:r w:rsidRPr="2CA51998" w:rsidR="2CA51998">
        <w:rPr>
          <w:sz w:val="24"/>
          <w:szCs w:val="24"/>
        </w:rPr>
        <w:t>abies antibody</w:t>
      </w:r>
      <w:r w:rsidRPr="2CA51998" w:rsidR="2CA51998">
        <w:rPr>
          <w:sz w:val="24"/>
          <w:szCs w:val="24"/>
        </w:rPr>
        <w:t xml:space="preserve"> response in immunocompromised patients including those on chronic steroids. </w:t>
      </w:r>
    </w:p>
    <w:p w:rsidR="003B4AAD" w:rsidP="003B4AAD" w:rsidRDefault="00745764" w14:paraId="6E57AD93" w14:textId="4F02DC3A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DON’T</w:t>
      </w:r>
      <w:r w:rsidR="003B4AAD">
        <w:rPr>
          <w:sz w:val="24"/>
          <w:szCs w:val="24"/>
        </w:rPr>
        <w:t>:</w:t>
      </w:r>
    </w:p>
    <w:p w:rsidRPr="00745764" w:rsidR="003B4AAD" w:rsidP="2CA51998" w:rsidRDefault="00745764" w14:paraId="1F6724CD" w14:noSpellErr="1" w14:textId="40327B35">
      <w:pPr>
        <w:pStyle w:val="ListParagraph"/>
        <w:numPr>
          <w:ilvl w:val="2"/>
          <w:numId w:val="18"/>
        </w:numPr>
        <w:rPr>
          <w:b w:val="1"/>
          <w:bCs w:val="1"/>
          <w:color w:val="FF0000"/>
          <w:sz w:val="24"/>
          <w:szCs w:val="24"/>
        </w:rPr>
      </w:pPr>
      <w:r w:rsidRPr="2CA51998" w:rsidR="2CA51998">
        <w:rPr>
          <w:b w:val="1"/>
          <w:bCs w:val="1"/>
          <w:color w:val="FF0000"/>
          <w:sz w:val="24"/>
          <w:szCs w:val="24"/>
        </w:rPr>
        <w:t>Inject reaming</w:t>
      </w:r>
      <w:r w:rsidRPr="2CA51998" w:rsidR="2CA51998">
        <w:rPr>
          <w:b w:val="1"/>
          <w:bCs w:val="1"/>
          <w:color w:val="FF0000"/>
          <w:sz w:val="24"/>
          <w:szCs w:val="24"/>
        </w:rPr>
        <w:t xml:space="preserve"> RIG for IM with same needle </w:t>
      </w:r>
      <w:r w:rsidRPr="2CA51998" w:rsidR="2CA51998">
        <w:rPr>
          <w:b w:val="1"/>
          <w:bCs w:val="1"/>
          <w:color w:val="FF0000"/>
          <w:sz w:val="24"/>
          <w:szCs w:val="24"/>
        </w:rPr>
        <w:t>was used to inject into the wound.</w:t>
      </w:r>
      <w:r w:rsidRPr="2CA51998" w:rsidR="2CA51998">
        <w:rPr>
          <w:b w:val="1"/>
          <w:bCs w:val="1"/>
          <w:color w:val="FF0000"/>
          <w:sz w:val="24"/>
          <w:szCs w:val="24"/>
        </w:rPr>
        <w:t xml:space="preserve"> </w:t>
      </w:r>
    </w:p>
    <w:p w:rsidR="003B4AAD" w:rsidP="003B4AAD" w:rsidRDefault="003B4AAD" w14:paraId="52FB91DB" w14:textId="23F65BE5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Don’t give additional RIG &gt;7d after the vaccine as it can suppress immune response to the vaccine. </w:t>
      </w:r>
    </w:p>
    <w:p w:rsidR="003B4AAD" w:rsidP="003B4AAD" w:rsidRDefault="003B4AAD" w14:paraId="23CA539C" w14:textId="17104A62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2CA51998" w:rsidR="2CA51998">
        <w:rPr>
          <w:sz w:val="24"/>
          <w:szCs w:val="24"/>
        </w:rPr>
        <w:t xml:space="preserve">Don’t inject vaccine into the glute, only inject into the thigh. </w:t>
      </w:r>
    </w:p>
    <w:p w:rsidR="2CA51998" w:rsidP="2CA51998" w:rsidRDefault="2CA51998" w14:noSpellErr="1" w14:paraId="70795FFC" w14:textId="621D82CE">
      <w:pPr>
        <w:rPr>
          <w:sz w:val="24"/>
          <w:szCs w:val="24"/>
        </w:rPr>
      </w:pPr>
    </w:p>
    <w:p w:rsidR="008851F3" w:rsidP="00C53B73" w:rsidRDefault="008851F3" w14:paraId="6FCDCA1C" w14:textId="3A0F655B">
      <w:pPr>
        <w:rPr>
          <w:sz w:val="24"/>
          <w:szCs w:val="24"/>
        </w:rPr>
      </w:pPr>
      <w:r>
        <w:rPr>
          <w:sz w:val="24"/>
          <w:szCs w:val="24"/>
        </w:rPr>
        <w:t>References:</w:t>
      </w:r>
    </w:p>
    <w:p w:rsidR="0051140B" w:rsidP="0051140B" w:rsidRDefault="0051140B" w14:paraId="3AE450EA" w14:textId="77777777">
      <w:pPr>
        <w:rPr>
          <w:sz w:val="24"/>
        </w:rPr>
      </w:pPr>
      <w:proofErr w:type="spellStart"/>
      <w:r w:rsidRPr="0051140B">
        <w:rPr>
          <w:sz w:val="24"/>
        </w:rPr>
        <w:t>Gautret</w:t>
      </w:r>
      <w:proofErr w:type="spellEnd"/>
      <w:r w:rsidRPr="0051140B">
        <w:rPr>
          <w:sz w:val="24"/>
        </w:rPr>
        <w:t xml:space="preserve">, P. </w:t>
      </w:r>
      <w:r w:rsidRPr="0051140B">
        <w:rPr>
          <w:i/>
          <w:iCs/>
          <w:sz w:val="24"/>
        </w:rPr>
        <w:t>et al.</w:t>
      </w:r>
      <w:r w:rsidRPr="0051140B">
        <w:rPr>
          <w:sz w:val="24"/>
        </w:rPr>
        <w:t xml:space="preserve"> Rabies in nonhuman primates and potential for transmission to humans: a literature review and examination of selected French national data. </w:t>
      </w:r>
      <w:proofErr w:type="spellStart"/>
      <w:r w:rsidRPr="0051140B">
        <w:rPr>
          <w:i/>
          <w:iCs/>
          <w:sz w:val="24"/>
        </w:rPr>
        <w:t>PLoS</w:t>
      </w:r>
      <w:proofErr w:type="spellEnd"/>
      <w:r w:rsidRPr="0051140B">
        <w:rPr>
          <w:i/>
          <w:iCs/>
          <w:sz w:val="24"/>
        </w:rPr>
        <w:t xml:space="preserve"> </w:t>
      </w:r>
      <w:proofErr w:type="spellStart"/>
      <w:r w:rsidRPr="0051140B">
        <w:rPr>
          <w:i/>
          <w:iCs/>
          <w:sz w:val="24"/>
        </w:rPr>
        <w:t>Negl</w:t>
      </w:r>
      <w:proofErr w:type="spellEnd"/>
      <w:r w:rsidRPr="0051140B">
        <w:rPr>
          <w:i/>
          <w:iCs/>
          <w:sz w:val="24"/>
        </w:rPr>
        <w:t xml:space="preserve">. </w:t>
      </w:r>
      <w:proofErr w:type="gramStart"/>
      <w:r w:rsidRPr="0051140B">
        <w:rPr>
          <w:i/>
          <w:iCs/>
          <w:sz w:val="24"/>
        </w:rPr>
        <w:t>Trop. Dis.</w:t>
      </w:r>
      <w:r w:rsidRPr="0051140B">
        <w:rPr>
          <w:sz w:val="24"/>
        </w:rPr>
        <w:t xml:space="preserve"> </w:t>
      </w:r>
      <w:r w:rsidRPr="0051140B">
        <w:rPr>
          <w:b/>
          <w:bCs/>
          <w:sz w:val="24"/>
        </w:rPr>
        <w:t>8,</w:t>
      </w:r>
      <w:r>
        <w:rPr>
          <w:sz w:val="24"/>
        </w:rPr>
        <w:t xml:space="preserve"> e2863 (2014).</w:t>
      </w:r>
      <w:proofErr w:type="gramEnd"/>
      <w:r>
        <w:rPr>
          <w:sz w:val="24"/>
        </w:rPr>
        <w:t xml:space="preserve"> </w:t>
      </w:r>
    </w:p>
    <w:p w:rsidR="0051140B" w:rsidP="0051140B" w:rsidRDefault="0051140B" w14:paraId="12F7DBC7" w14:textId="77777777">
      <w:pPr>
        <w:rPr>
          <w:sz w:val="28"/>
          <w:szCs w:val="24"/>
        </w:rPr>
      </w:pPr>
      <w:proofErr w:type="spellStart"/>
      <w:r w:rsidRPr="0051140B">
        <w:rPr>
          <w:sz w:val="24"/>
        </w:rPr>
        <w:t>Kessels</w:t>
      </w:r>
      <w:proofErr w:type="spellEnd"/>
      <w:r w:rsidRPr="0051140B">
        <w:rPr>
          <w:sz w:val="24"/>
        </w:rPr>
        <w:t xml:space="preserve">, J. A. </w:t>
      </w:r>
      <w:r w:rsidRPr="0051140B">
        <w:rPr>
          <w:i/>
          <w:iCs/>
          <w:sz w:val="24"/>
        </w:rPr>
        <w:t>et al.</w:t>
      </w:r>
      <w:r w:rsidRPr="0051140B">
        <w:rPr>
          <w:sz w:val="24"/>
        </w:rPr>
        <w:t xml:space="preserve"> Pre-exposure rabies prophylaxis: a systematic review. </w:t>
      </w:r>
      <w:r w:rsidRPr="0051140B">
        <w:rPr>
          <w:i/>
          <w:iCs/>
          <w:sz w:val="24"/>
        </w:rPr>
        <w:t xml:space="preserve">Bull. </w:t>
      </w:r>
      <w:proofErr w:type="gramStart"/>
      <w:r w:rsidRPr="0051140B">
        <w:rPr>
          <w:i/>
          <w:iCs/>
          <w:sz w:val="24"/>
        </w:rPr>
        <w:t>World Health Organ.</w:t>
      </w:r>
      <w:proofErr w:type="gramEnd"/>
      <w:r w:rsidRPr="0051140B">
        <w:rPr>
          <w:sz w:val="24"/>
        </w:rPr>
        <w:t xml:space="preserve"> </w:t>
      </w:r>
      <w:proofErr w:type="gramStart"/>
      <w:r w:rsidRPr="0051140B">
        <w:rPr>
          <w:b/>
          <w:bCs/>
          <w:sz w:val="24"/>
        </w:rPr>
        <w:t>95,</w:t>
      </w:r>
      <w:r w:rsidRPr="0051140B">
        <w:rPr>
          <w:sz w:val="24"/>
        </w:rPr>
        <w:t xml:space="preserve"> 210–219C (2017).</w:t>
      </w:r>
      <w:proofErr w:type="gramEnd"/>
      <w:r>
        <w:rPr>
          <w:sz w:val="28"/>
          <w:szCs w:val="24"/>
        </w:rPr>
        <w:t xml:space="preserve"> </w:t>
      </w:r>
    </w:p>
    <w:p w:rsidRPr="0051140B" w:rsidR="0051140B" w:rsidP="0051140B" w:rsidRDefault="0051140B" w14:paraId="7A375253" w14:textId="49B7148B">
      <w:pPr>
        <w:rPr>
          <w:sz w:val="28"/>
          <w:szCs w:val="24"/>
        </w:rPr>
      </w:pPr>
      <w:r>
        <w:rPr>
          <w:sz w:val="24"/>
          <w:szCs w:val="24"/>
        </w:rPr>
        <w:t xml:space="preserve">CDC Rabies Medical Care: </w:t>
      </w:r>
      <w:r w:rsidRPr="0051140B">
        <w:rPr>
          <w:sz w:val="24"/>
          <w:szCs w:val="24"/>
        </w:rPr>
        <w:t>https://www.cdc.gov/rabies/medical_care/index.html</w:t>
      </w:r>
    </w:p>
    <w:sectPr w:rsidRPr="0051140B" w:rsidR="0051140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F8E"/>
    <w:multiLevelType w:val="hybridMultilevel"/>
    <w:tmpl w:val="821C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5BB7"/>
    <w:multiLevelType w:val="hybridMultilevel"/>
    <w:tmpl w:val="DE9C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6C1D"/>
    <w:multiLevelType w:val="hybridMultilevel"/>
    <w:tmpl w:val="BC64C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72588"/>
    <w:multiLevelType w:val="hybridMultilevel"/>
    <w:tmpl w:val="0D8AE2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49A6AD6"/>
    <w:multiLevelType w:val="hybridMultilevel"/>
    <w:tmpl w:val="51FA66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65A97"/>
    <w:multiLevelType w:val="hybridMultilevel"/>
    <w:tmpl w:val="556C9F5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31FF436C"/>
    <w:multiLevelType w:val="hybridMultilevel"/>
    <w:tmpl w:val="9C5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24A05A0"/>
    <w:multiLevelType w:val="hybridMultilevel"/>
    <w:tmpl w:val="E216E508"/>
    <w:lvl w:ilvl="0" w:tplc="207E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8A0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5AA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66A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210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63C6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9427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ED4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3A2E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hint="default" w:ascii="Corbel" w:hAnsi="Corbe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E3828B5"/>
    <w:multiLevelType w:val="hybridMultilevel"/>
    <w:tmpl w:val="DCB83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787F83"/>
    <w:multiLevelType w:val="hybridMultilevel"/>
    <w:tmpl w:val="498846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4B6E7953"/>
    <w:multiLevelType w:val="hybridMultilevel"/>
    <w:tmpl w:val="80E8E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0B6D47"/>
    <w:multiLevelType w:val="hybridMultilevel"/>
    <w:tmpl w:val="3CAC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20375"/>
    <w:multiLevelType w:val="hybridMultilevel"/>
    <w:tmpl w:val="0A9E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10E20"/>
    <w:multiLevelType w:val="hybridMultilevel"/>
    <w:tmpl w:val="38DA92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C773D"/>
    <w:multiLevelType w:val="hybridMultilevel"/>
    <w:tmpl w:val="549EC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9D3855"/>
    <w:multiLevelType w:val="hybridMultilevel"/>
    <w:tmpl w:val="269C8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1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16"/>
  </w:num>
  <w:num w:numId="15">
    <w:abstractNumId w:val="3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10AC2"/>
    <w:rsid w:val="00092FF7"/>
    <w:rsid w:val="000D6083"/>
    <w:rsid w:val="001637AE"/>
    <w:rsid w:val="00271373"/>
    <w:rsid w:val="002D4F3B"/>
    <w:rsid w:val="002F40F7"/>
    <w:rsid w:val="00302DD1"/>
    <w:rsid w:val="00345429"/>
    <w:rsid w:val="003B46EE"/>
    <w:rsid w:val="003B4AAD"/>
    <w:rsid w:val="003D7D93"/>
    <w:rsid w:val="003F72E0"/>
    <w:rsid w:val="004542C8"/>
    <w:rsid w:val="004D4A9A"/>
    <w:rsid w:val="004E3599"/>
    <w:rsid w:val="004E3E3C"/>
    <w:rsid w:val="0051140B"/>
    <w:rsid w:val="0054231C"/>
    <w:rsid w:val="00545B9C"/>
    <w:rsid w:val="0055164A"/>
    <w:rsid w:val="00567576"/>
    <w:rsid w:val="005C5071"/>
    <w:rsid w:val="005D4FDE"/>
    <w:rsid w:val="00641483"/>
    <w:rsid w:val="0072149D"/>
    <w:rsid w:val="00745764"/>
    <w:rsid w:val="00765DE2"/>
    <w:rsid w:val="00792EBC"/>
    <w:rsid w:val="007B3ED0"/>
    <w:rsid w:val="007D181A"/>
    <w:rsid w:val="0080209A"/>
    <w:rsid w:val="0084391C"/>
    <w:rsid w:val="008851F3"/>
    <w:rsid w:val="008B0E43"/>
    <w:rsid w:val="008C0906"/>
    <w:rsid w:val="00943280"/>
    <w:rsid w:val="0095053C"/>
    <w:rsid w:val="00957CFC"/>
    <w:rsid w:val="00977BC4"/>
    <w:rsid w:val="00983F99"/>
    <w:rsid w:val="009C3564"/>
    <w:rsid w:val="009E6D33"/>
    <w:rsid w:val="00A4505B"/>
    <w:rsid w:val="00A544D0"/>
    <w:rsid w:val="00A718D3"/>
    <w:rsid w:val="00AA76D8"/>
    <w:rsid w:val="00AC0BAD"/>
    <w:rsid w:val="00AD587A"/>
    <w:rsid w:val="00AF04DB"/>
    <w:rsid w:val="00B74D33"/>
    <w:rsid w:val="00B81A15"/>
    <w:rsid w:val="00BD1AAC"/>
    <w:rsid w:val="00BD5443"/>
    <w:rsid w:val="00C53B73"/>
    <w:rsid w:val="00CA6830"/>
    <w:rsid w:val="00D05950"/>
    <w:rsid w:val="00D16707"/>
    <w:rsid w:val="00D2053A"/>
    <w:rsid w:val="00D42177"/>
    <w:rsid w:val="00DF7004"/>
    <w:rsid w:val="00E3324F"/>
    <w:rsid w:val="00E76161"/>
    <w:rsid w:val="00F04E3A"/>
    <w:rsid w:val="00F31911"/>
    <w:rsid w:val="00F3462A"/>
    <w:rsid w:val="00F56E75"/>
    <w:rsid w:val="00F65E13"/>
    <w:rsid w:val="00F7028B"/>
    <w:rsid w:val="00F87BEA"/>
    <w:rsid w:val="2A94A9E6"/>
    <w:rsid w:val="2CA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00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styleId="pp-pub-journal1" w:customStyle="1">
    <w:name w:val="pp-pub-journal1"/>
    <w:basedOn w:val="DefaultParagraphFont"/>
    <w:rsid w:val="0095053C"/>
    <w:rPr>
      <w:i/>
      <w:iCs/>
      <w:color w:val="008000"/>
    </w:rPr>
  </w:style>
  <w:style w:type="character" w:styleId="pp-pub-year" w:customStyle="1">
    <w:name w:val="pp-pub-year"/>
    <w:basedOn w:val="DefaultParagraphFont"/>
    <w:rsid w:val="0095053C"/>
  </w:style>
  <w:style w:type="character" w:styleId="pp-pub-type1" w:customStyle="1">
    <w:name w:val="pp-pub-type1"/>
    <w:basedOn w:val="DefaultParagraphFont"/>
    <w:rsid w:val="0095053C"/>
    <w:rPr>
      <w:color w:val="B3B3B3"/>
    </w:rPr>
  </w:style>
  <w:style w:type="character" w:styleId="pp-pub-abstract-icon1" w:customStyle="1">
    <w:name w:val="pp-pub-abstract-icon1"/>
    <w:basedOn w:val="DefaultParagraphFont"/>
    <w:rsid w:val="0095053C"/>
    <w:rPr>
      <w:color w:val="BFBFBF"/>
      <w:sz w:val="17"/>
      <w:szCs w:val="17"/>
    </w:rPr>
  </w:style>
  <w:style w:type="character" w:styleId="Heading2Char" w:customStyle="1">
    <w:name w:val="Heading 2 Char"/>
    <w:basedOn w:val="DefaultParagraphFont"/>
    <w:link w:val="Heading2"/>
    <w:uiPriority w:val="9"/>
    <w:rsid w:val="00DF7004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DF70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52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0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4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D227-FFD5-44BF-BF79-1EACF0D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6AB2B-DA3E-4AB7-8FEF-697519124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EA37-27D1-4A96-B583-D61C3345976D}">
  <ds:schemaRefs>
    <ds:schemaRef ds:uri="69aa3883-b251-412e-bf1d-acb3217d06af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acaa5ce-4b13-4929-997a-fd8c1bfe780a"/>
  </ds:schemaRefs>
</ds:datastoreItem>
</file>

<file path=customXml/itemProps4.xml><?xml version="1.0" encoding="utf-8"?>
<ds:datastoreItem xmlns:ds="http://schemas.openxmlformats.org/officeDocument/2006/customXml" ds:itemID="{E3E86842-82D8-4BC1-BA5F-24592EBF94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UW Medicine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Lynch, John B</dc:creator>
  <lastModifiedBy>Chloe Bryson-Cahn</lastModifiedBy>
  <revision>4</revision>
  <dcterms:created xsi:type="dcterms:W3CDTF">2018-06-07T20:35:00.0000000Z</dcterms:created>
  <dcterms:modified xsi:type="dcterms:W3CDTF">2018-06-08T00:12:05.4341177Z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d8c9c4f4-9e43-38eb-8837-f5f670285650</vt:lpwstr>
  </property>
  <property fmtid="{D5CDD505-2E9C-101B-9397-08002B2CF9AE}" pid="5" name="Mendeley Citation Style_1">
    <vt:lpwstr>http://www.zotero.org/styles/american-medical-association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(deprecated)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