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Pr="002F40F7" w:rsidR="009E6D33" w:rsidP="00A544D0" w:rsidRDefault="0084391C" w14:paraId="3F982842" w14:textId="77777777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W TASP_LogoExploration_RGB_Color.jpg" o:spid="_x0000_s1026" filled="f" stroked="f" w14:anchorId="13AF2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33A6" w:rsidR="00A544D0" w:rsidP="4D27768F" w:rsidRDefault="008851F3" w14:paraId="4B4D3DCC" w14:noSpellErr="1" w14:textId="7A5A478C">
      <w:pPr>
        <w:rPr>
          <w:rFonts w:ascii="Arial" w:hAnsi="Arial" w:eastAsia="Arial" w:cs="Arial"/>
          <w:sz w:val="24"/>
          <w:szCs w:val="24"/>
        </w:rPr>
      </w:pPr>
      <w:r w:rsidRPr="4D27768F" w:rsidR="4D27768F">
        <w:rPr>
          <w:sz w:val="24"/>
          <w:szCs w:val="24"/>
        </w:rPr>
        <w:t>Session Summary for</w:t>
      </w:r>
      <w:r w:rsidRPr="4D27768F" w:rsidR="4D27768F">
        <w:rPr>
          <w:sz w:val="24"/>
          <w:szCs w:val="24"/>
        </w:rPr>
        <w:t xml:space="preserve"> July 10</w:t>
      </w:r>
      <w:r w:rsidRPr="4D27768F" w:rsidR="4D27768F">
        <w:rPr>
          <w:sz w:val="24"/>
          <w:szCs w:val="24"/>
        </w:rPr>
        <w:t>, 2018</w:t>
      </w:r>
    </w:p>
    <w:p w:rsidRPr="005F33A6" w:rsidR="00983F99" w:rsidP="4D27768F" w:rsidRDefault="00AD587A" w14:paraId="22CAE07B" w14:noSpellErr="1" w14:textId="0A02FF4D">
      <w:pPr>
        <w:rPr>
          <w:rFonts w:ascii="Arial" w:hAnsi="Arial" w:eastAsia="Arial" w:cs="Arial"/>
          <w:sz w:val="24"/>
          <w:szCs w:val="24"/>
          <w:u w:val="single"/>
        </w:rPr>
      </w:pPr>
      <w:r w:rsidRPr="4D27768F" w:rsidR="4D27768F">
        <w:rPr>
          <w:sz w:val="24"/>
          <w:szCs w:val="24"/>
          <w:u w:val="single"/>
        </w:rPr>
        <w:t>Didactic</w:t>
      </w:r>
      <w:r w:rsidRPr="4D27768F" w:rsidR="4D27768F">
        <w:rPr>
          <w:rFonts w:ascii="Arial" w:hAnsi="Arial" w:eastAsia="Arial" w:cs="Arial"/>
          <w:sz w:val="24"/>
          <w:szCs w:val="24"/>
          <w:u w:val="single"/>
        </w:rPr>
        <w:t>:</w:t>
      </w:r>
      <w:r w:rsidRPr="4D27768F" w:rsidR="4D27768F">
        <w:rPr>
          <w:rFonts w:ascii="Arial" w:hAnsi="Arial" w:eastAsia="Arial" w:cs="Arial"/>
          <w:sz w:val="24"/>
          <w:szCs w:val="24"/>
          <w:u w:val="single"/>
        </w:rPr>
        <w:t xml:space="preserve"> </w:t>
      </w:r>
      <w:r w:rsidRPr="4D27768F" w:rsidR="4D27768F">
        <w:rPr>
          <w:rFonts w:ascii="Arial" w:hAnsi="Arial" w:eastAsia="Arial" w:cs="Arial"/>
          <w:sz w:val="24"/>
          <w:szCs w:val="24"/>
          <w:u w:val="single"/>
        </w:rPr>
        <w:t>Procalcitonin in Specific Scenarios. Chloe Bryson-Cahn, MD.</w:t>
      </w:r>
    </w:p>
    <w:p w:rsidRPr="005F33A6" w:rsidR="003B4AAD" w:rsidP="4D27768F" w:rsidRDefault="005F33A6" w14:noSpellErr="1" w14:paraId="5ED7BAA1" w14:textId="588D9A0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Procalcitoni</w:t>
      </w:r>
      <w:r w:rsidRPr="4D27768F" w:rsidR="4D27768F">
        <w:rPr>
          <w:sz w:val="24"/>
          <w:szCs w:val="24"/>
        </w:rPr>
        <w:t>n (PCT), a precursor protein of calcitonin, is secreted into the blood in patients with bacterial infections.</w:t>
      </w:r>
    </w:p>
    <w:p w:rsidRPr="005F33A6" w:rsidR="003B4AAD" w:rsidP="4D27768F" w:rsidRDefault="005F33A6" w14:noSpellErr="1" w14:paraId="76011BB7" w14:textId="03A37742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We discussed specific scenarios where there is data for the use of procalcitonin to drive antibiotic decisions.</w:t>
      </w:r>
    </w:p>
    <w:p w:rsidRPr="005F33A6" w:rsidR="003B4AAD" w:rsidP="4D27768F" w:rsidRDefault="005F33A6" w14:noSpellErr="1" w14:paraId="026A4FC9" w14:textId="65A014F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  <w:u w:val="single"/>
        </w:rPr>
        <w:t>Acute Respiratory Tract Infections</w:t>
      </w:r>
      <w:r w:rsidRPr="4D27768F" w:rsidR="4D27768F">
        <w:rPr>
          <w:sz w:val="24"/>
          <w:szCs w:val="24"/>
        </w:rPr>
        <w:t xml:space="preserve"> </w:t>
      </w:r>
    </w:p>
    <w:p w:rsidRPr="005F33A6" w:rsidR="003B4AAD" w:rsidP="4D27768F" w:rsidRDefault="005F33A6" w14:noSpellErr="1" w14:paraId="07A45BAB" w14:textId="534C177F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Recent meta-analysis</w:t>
      </w:r>
      <w:r w:rsidRPr="4D27768F" w:rsidR="4D27768F">
        <w:rPr>
          <w:sz w:val="24"/>
          <w:szCs w:val="24"/>
          <w:vertAlign w:val="superscript"/>
        </w:rPr>
        <w:t>1</w:t>
      </w:r>
      <w:r w:rsidRPr="4D27768F" w:rsidR="4D27768F">
        <w:rPr>
          <w:sz w:val="24"/>
          <w:szCs w:val="24"/>
        </w:rPr>
        <w:t xml:space="preserve"> of 26 randomized </w:t>
      </w:r>
      <w:r w:rsidRPr="4D27768F" w:rsidR="4D27768F">
        <w:rPr>
          <w:sz w:val="24"/>
          <w:szCs w:val="24"/>
        </w:rPr>
        <w:t>controlled</w:t>
      </w:r>
      <w:r w:rsidRPr="4D27768F" w:rsidR="4D27768F">
        <w:rPr>
          <w:sz w:val="24"/>
          <w:szCs w:val="24"/>
        </w:rPr>
        <w:t xml:space="preserve"> </w:t>
      </w:r>
      <w:r w:rsidRPr="4D27768F" w:rsidR="4D27768F">
        <w:rPr>
          <w:sz w:val="24"/>
          <w:szCs w:val="24"/>
        </w:rPr>
        <w:t>trials</w:t>
      </w:r>
      <w:r w:rsidRPr="4D27768F" w:rsidR="4D27768F">
        <w:rPr>
          <w:sz w:val="24"/>
          <w:szCs w:val="24"/>
        </w:rPr>
        <w:t xml:space="preserve"> in 12 countries looking at either initiation or continuation of </w:t>
      </w:r>
      <w:r w:rsidRPr="4D27768F" w:rsidR="4D27768F">
        <w:rPr>
          <w:sz w:val="24"/>
          <w:szCs w:val="24"/>
        </w:rPr>
        <w:t>antibiotics</w:t>
      </w:r>
      <w:r w:rsidRPr="4D27768F" w:rsidR="4D27768F">
        <w:rPr>
          <w:sz w:val="24"/>
          <w:szCs w:val="24"/>
        </w:rPr>
        <w:t xml:space="preserve"> based on PCT levels</w:t>
      </w:r>
    </w:p>
    <w:p w:rsidRPr="005F33A6" w:rsidR="003B4AAD" w:rsidP="4D27768F" w:rsidRDefault="005F33A6" w14:paraId="4AAAC8B9" w14:noSpellErr="1" w14:textId="75DC6476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 xml:space="preserve">Outcomes in PCT vs. Non-PCT guided </w:t>
      </w:r>
      <w:r w:rsidRPr="4D27768F" w:rsidR="4D27768F">
        <w:rPr>
          <w:sz w:val="24"/>
          <w:szCs w:val="24"/>
        </w:rPr>
        <w:t>antibiotic</w:t>
      </w:r>
      <w:r w:rsidRPr="4D27768F" w:rsidR="4D27768F">
        <w:rPr>
          <w:sz w:val="24"/>
          <w:szCs w:val="24"/>
        </w:rPr>
        <w:t xml:space="preserve"> use: s</w:t>
      </w:r>
      <w:r w:rsidRPr="4D27768F" w:rsidR="4D27768F">
        <w:rPr>
          <w:sz w:val="24"/>
          <w:szCs w:val="24"/>
        </w:rPr>
        <w:t xml:space="preserve">light reduction in mortality (10% vs. 9%), reduction in days on </w:t>
      </w:r>
      <w:r w:rsidRPr="4D27768F" w:rsidR="4D27768F">
        <w:rPr>
          <w:sz w:val="24"/>
          <w:szCs w:val="24"/>
        </w:rPr>
        <w:t>antibiotics</w:t>
      </w:r>
      <w:r w:rsidRPr="4D27768F" w:rsidR="4D27768F">
        <w:rPr>
          <w:sz w:val="24"/>
          <w:szCs w:val="24"/>
        </w:rPr>
        <w:t xml:space="preserve"> (2.4 days), and fewer</w:t>
      </w:r>
      <w:r w:rsidRPr="4D27768F" w:rsidR="4D27768F">
        <w:rPr>
          <w:sz w:val="24"/>
          <w:szCs w:val="24"/>
        </w:rPr>
        <w:t xml:space="preserve"> antibiotic adverse events</w:t>
      </w:r>
    </w:p>
    <w:p w:rsidR="4D27768F" w:rsidP="4D27768F" w:rsidRDefault="4D27768F" w14:noSpellErr="1" w14:paraId="3FBE0A18" w14:textId="48E29D44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Limitations: 2/26 studies included US hospitals</w:t>
      </w:r>
    </w:p>
    <w:p w:rsidR="4D27768F" w:rsidP="4D27768F" w:rsidRDefault="4D27768F" w14:noSpellErr="1" w14:paraId="26F0D2F1" w14:textId="34CB815F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Cochrane review from 2017</w:t>
      </w:r>
      <w:r w:rsidRPr="4D27768F" w:rsidR="4D27768F">
        <w:rPr>
          <w:sz w:val="24"/>
          <w:szCs w:val="24"/>
          <w:vertAlign w:val="superscript"/>
        </w:rPr>
        <w:t>2</w:t>
      </w:r>
      <w:r w:rsidRPr="4D27768F" w:rsidR="4D27768F">
        <w:rPr>
          <w:sz w:val="24"/>
          <w:szCs w:val="24"/>
        </w:rPr>
        <w:t xml:space="preserve"> demonstrated PCT decreased days on </w:t>
      </w:r>
      <w:r w:rsidRPr="4D27768F" w:rsidR="4D27768F">
        <w:rPr>
          <w:sz w:val="24"/>
          <w:szCs w:val="24"/>
        </w:rPr>
        <w:t>antibiotics</w:t>
      </w:r>
      <w:r w:rsidRPr="4D27768F" w:rsidR="4D27768F">
        <w:rPr>
          <w:sz w:val="24"/>
          <w:szCs w:val="24"/>
        </w:rPr>
        <w:t xml:space="preserve"> without altering mortality nor treatment failure. </w:t>
      </w:r>
    </w:p>
    <w:p w:rsidR="4D27768F" w:rsidP="4D27768F" w:rsidRDefault="4D27768F" w14:paraId="05E60F47" w14:textId="5FC47819">
      <w:pPr>
        <w:pStyle w:val="ListParagraph"/>
        <w:numPr>
          <w:ilvl w:val="1"/>
          <w:numId w:val="18"/>
        </w:numPr>
        <w:rPr>
          <w:sz w:val="24"/>
          <w:szCs w:val="24"/>
        </w:rPr>
      </w:pPr>
      <w:proofErr w:type="spellStart"/>
      <w:r w:rsidRPr="4D27768F" w:rsidR="4D27768F">
        <w:rPr>
          <w:sz w:val="24"/>
          <w:szCs w:val="24"/>
        </w:rPr>
        <w:t>ProACT</w:t>
      </w:r>
      <w:proofErr w:type="spellEnd"/>
      <w:r w:rsidRPr="4D27768F" w:rsidR="4D27768F">
        <w:rPr>
          <w:sz w:val="24"/>
          <w:szCs w:val="24"/>
        </w:rPr>
        <w:t xml:space="preserve"> Trial</w:t>
      </w:r>
      <w:r w:rsidRPr="4D27768F" w:rsidR="4D27768F">
        <w:rPr>
          <w:sz w:val="24"/>
          <w:szCs w:val="24"/>
          <w:vertAlign w:val="superscript"/>
        </w:rPr>
        <w:t>3</w:t>
      </w:r>
      <w:r w:rsidRPr="4D27768F" w:rsidR="4D27768F">
        <w:rPr>
          <w:sz w:val="24"/>
          <w:szCs w:val="24"/>
        </w:rPr>
        <w:t xml:space="preserve"> – RCT in 14 US hospital with strong educational intervention but more "real-world" scenario</w:t>
      </w:r>
    </w:p>
    <w:p w:rsidR="4D27768F" w:rsidP="4D27768F" w:rsidRDefault="4D27768F" w14:noSpellErr="1" w14:paraId="55CEC9E4" w14:textId="68B18799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 xml:space="preserve">PCT use did not change total number of </w:t>
      </w:r>
      <w:r w:rsidRPr="4D27768F" w:rsidR="4D27768F">
        <w:rPr>
          <w:sz w:val="24"/>
          <w:szCs w:val="24"/>
        </w:rPr>
        <w:t>antibiotic</w:t>
      </w:r>
      <w:r w:rsidRPr="4D27768F" w:rsidR="4D27768F">
        <w:rPr>
          <w:sz w:val="24"/>
          <w:szCs w:val="24"/>
        </w:rPr>
        <w:t xml:space="preserve"> days nor safety</w:t>
      </w:r>
    </w:p>
    <w:p w:rsidR="4D27768F" w:rsidP="4D27768F" w:rsidRDefault="4D27768F" w14:noSpellErr="1" w14:paraId="7617CFAE" w14:textId="0400AEB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  <w:u w:val="single"/>
        </w:rPr>
        <w:t>Critically Ill/Sepsis</w:t>
      </w:r>
      <w:r w:rsidRPr="4D27768F" w:rsidR="4D27768F">
        <w:rPr>
          <w:sz w:val="24"/>
          <w:szCs w:val="24"/>
        </w:rPr>
        <w:t xml:space="preserve"> </w:t>
      </w:r>
    </w:p>
    <w:p w:rsidR="4D27768F" w:rsidP="4D27768F" w:rsidRDefault="4D27768F" w14:noSpellErr="1" w14:paraId="0283DB33" w14:textId="3A32798A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Cochrane Review</w:t>
      </w:r>
      <w:r w:rsidRPr="4D27768F" w:rsidR="4D27768F">
        <w:rPr>
          <w:sz w:val="24"/>
          <w:szCs w:val="24"/>
          <w:vertAlign w:val="superscript"/>
        </w:rPr>
        <w:t>4</w:t>
      </w:r>
      <w:r w:rsidRPr="4D27768F" w:rsidR="4D27768F">
        <w:rPr>
          <w:sz w:val="24"/>
          <w:szCs w:val="24"/>
        </w:rPr>
        <w:t xml:space="preserve"> – quality of evidence low to moderate, did not show PCT to change outcomes</w:t>
      </w:r>
    </w:p>
    <w:p w:rsidR="4D27768F" w:rsidP="4D27768F" w:rsidRDefault="4D27768F" w14:noSpellErr="1" w14:paraId="72B14058" w14:textId="5AF1907F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Another recent meta analysis</w:t>
      </w:r>
      <w:r w:rsidRPr="4D27768F" w:rsidR="4D27768F">
        <w:rPr>
          <w:sz w:val="24"/>
          <w:szCs w:val="24"/>
          <w:vertAlign w:val="superscript"/>
        </w:rPr>
        <w:t>5</w:t>
      </w:r>
      <w:r w:rsidRPr="4D27768F" w:rsidR="4D27768F">
        <w:rPr>
          <w:sz w:val="24"/>
          <w:szCs w:val="24"/>
          <w:vertAlign w:val="baseline"/>
        </w:rPr>
        <w:t xml:space="preserve"> showed that PCT decreased days of antibiotics when used to help guide cessation of </w:t>
      </w:r>
      <w:r w:rsidRPr="4D27768F" w:rsidR="4D27768F">
        <w:rPr>
          <w:sz w:val="24"/>
          <w:szCs w:val="24"/>
          <w:vertAlign w:val="baseline"/>
        </w:rPr>
        <w:t>antibiosis</w:t>
      </w:r>
      <w:r w:rsidRPr="4D27768F" w:rsidR="4D27768F">
        <w:rPr>
          <w:sz w:val="24"/>
          <w:szCs w:val="24"/>
          <w:vertAlign w:val="baseline"/>
        </w:rPr>
        <w:t xml:space="preserve"> (by 1.3 days) but no overall difference in mortality nor difference when used to help initiate antibiotics. </w:t>
      </w:r>
    </w:p>
    <w:p w:rsidR="4D27768F" w:rsidP="4D27768F" w:rsidRDefault="4D27768F" w14:noSpellErr="1" w14:paraId="5F498546" w14:textId="0860760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  <w:u w:val="single"/>
        </w:rPr>
        <w:t>UTI/Abdominal Infection/Meningitis</w:t>
      </w:r>
    </w:p>
    <w:p w:rsidR="4D27768F" w:rsidP="4D27768F" w:rsidRDefault="4D27768F" w14:noSpellErr="1" w14:paraId="1F3A7025" w14:textId="10843E31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There is interest in these topics though the data are not there to support the use</w:t>
      </w:r>
    </w:p>
    <w:p w:rsidR="4D27768F" w:rsidP="4D27768F" w:rsidRDefault="4D27768F" w14:noSpellErr="1" w14:paraId="5107658E" w14:textId="14143DE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>In Summary:</w:t>
      </w:r>
    </w:p>
    <w:p w:rsidR="4D27768F" w:rsidP="4D27768F" w:rsidRDefault="4D27768F" w14:noSpellErr="1" w14:paraId="766BDD10" w14:textId="7276F952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 xml:space="preserve">PCT guided antibiotic decision in respiratory tract infection does seem safe </w:t>
      </w:r>
    </w:p>
    <w:p w:rsidR="4D27768F" w:rsidP="4D27768F" w:rsidRDefault="4D27768F" w14:noSpellErr="1" w14:paraId="70FA7C4D" w14:textId="17EB0E99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4D27768F" w:rsidR="4D27768F">
        <w:rPr>
          <w:sz w:val="24"/>
          <w:szCs w:val="24"/>
        </w:rPr>
        <w:t xml:space="preserve">Might even improve days of </w:t>
      </w:r>
      <w:r w:rsidRPr="4D27768F" w:rsidR="4D27768F">
        <w:rPr>
          <w:sz w:val="24"/>
          <w:szCs w:val="24"/>
        </w:rPr>
        <w:t>antibiotic</w:t>
      </w:r>
      <w:r w:rsidRPr="4D27768F" w:rsidR="4D27768F">
        <w:rPr>
          <w:sz w:val="24"/>
          <w:szCs w:val="24"/>
        </w:rPr>
        <w:t xml:space="preserve"> use and other patient outcomes </w:t>
      </w:r>
    </w:p>
    <w:p w:rsidR="4D27768F" w:rsidP="4D27768F" w:rsidRDefault="4D27768F" w14:noSpellErr="1" w14:paraId="7C93E398" w14:textId="06AABB95">
      <w:pPr>
        <w:pStyle w:val="ListParagraph"/>
        <w:numPr>
          <w:ilvl w:val="2"/>
          <w:numId w:val="18"/>
        </w:numPr>
        <w:bidi w:val="0"/>
        <w:spacing w:before="0" w:beforeAutospacing="off" w:after="200" w:afterAutospacing="off" w:line="276" w:lineRule="auto"/>
        <w:ind w:left="180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D27768F" w:rsidR="4D27768F">
        <w:rPr>
          <w:sz w:val="24"/>
          <w:szCs w:val="24"/>
        </w:rPr>
        <w:t>But implementation is the key!</w:t>
      </w:r>
      <w:r w:rsidRPr="4D27768F" w:rsidR="4D27768F">
        <w:rPr>
          <w:sz w:val="24"/>
          <w:szCs w:val="24"/>
        </w:rPr>
        <w:t xml:space="preserve"> In the US when implemented without a strong program supporting its use and helping guide clinicians, there were no differences in antibiotic days nor patient safety outcomes.</w:t>
      </w:r>
    </w:p>
    <w:p w:rsidR="4D27768F" w:rsidP="4D27768F" w:rsidRDefault="4D27768F" w14:noSpellErr="1" w14:paraId="5FF520DE" w14:textId="294C22B3">
      <w:pPr>
        <w:rPr>
          <w:sz w:val="24"/>
          <w:szCs w:val="24"/>
        </w:rPr>
      </w:pPr>
      <w:r w:rsidRPr="4D27768F" w:rsidR="4D27768F">
        <w:rPr>
          <w:sz w:val="24"/>
          <w:szCs w:val="24"/>
        </w:rPr>
        <w:t>References:</w:t>
      </w:r>
    </w:p>
    <w:p w:rsidR="4D27768F" w:rsidP="4D27768F" w:rsidRDefault="4D27768F" w14:paraId="0D419DD5" w14:textId="4CF2047A">
      <w:pPr>
        <w:pStyle w:val="ListParagraph"/>
        <w:numPr>
          <w:ilvl w:val="0"/>
          <w:numId w:val="20"/>
        </w:numPr>
        <w:rPr>
          <w:rFonts w:ascii="Arial" w:hAnsi="Arial" w:eastAsia="Arial" w:cs="Arial" w:asciiTheme="minorAscii" w:hAnsiTheme="minorAscii" w:eastAsiaTheme="minorAscii" w:cstheme="minorAscii"/>
          <w:color w:val="222222"/>
          <w:sz w:val="19"/>
          <w:szCs w:val="19"/>
        </w:rPr>
      </w:pPr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Schuetz P,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Wirz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Y, Sager R, Christ-Crain M, Stolz D, Tamm M,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Bouadma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L,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Luyt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CE, Wolff M,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Chastre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J,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Tubach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F. Effect of procalcitonin-guided antibiotic treatment on mortality in acute respiratory infections: a patient level meta-analysis. The Lancet Infectious Diseases. 2018 Jan 1;18(1):95-107.</w:t>
      </w:r>
    </w:p>
    <w:p w:rsidR="4D27768F" w:rsidP="4D27768F" w:rsidRDefault="4D27768F" w14:paraId="205C3D7E" w14:textId="16C21204">
      <w:pPr>
        <w:pStyle w:val="ListParagraph"/>
        <w:numPr>
          <w:ilvl w:val="0"/>
          <w:numId w:val="20"/>
        </w:numPr>
        <w:rPr>
          <w:rFonts w:ascii="Arial" w:hAnsi="Arial" w:eastAsia="Arial" w:cs="Arial" w:asciiTheme="minorAscii" w:hAnsiTheme="minorAscii" w:eastAsiaTheme="minorAscii" w:cstheme="minorAscii"/>
          <w:color w:val="222222"/>
          <w:sz w:val="19"/>
          <w:szCs w:val="19"/>
        </w:rPr>
      </w:pPr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Schuetz P,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Wirz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Y, Sager R, Christ‐Crain M, Stolz D, Tamm M,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Bouadma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L,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Luyt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CE, Wolff M,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Chastre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J,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Tubach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F. Procalcitonin to initiate or discontinue antibiotics in acute respiratory tract infections. The Cochrane Library. 2017 Jan 1.</w:t>
      </w:r>
    </w:p>
    <w:p w:rsidR="4D27768F" w:rsidP="4D27768F" w:rsidRDefault="4D27768F" w14:paraId="13C54101" w14:textId="79F4E562">
      <w:pPr>
        <w:pStyle w:val="ListParagraph"/>
        <w:numPr>
          <w:ilvl w:val="0"/>
          <w:numId w:val="20"/>
        </w:numPr>
        <w:rPr>
          <w:rFonts w:ascii="Arial" w:hAnsi="Arial" w:eastAsia="Arial" w:cs="Arial" w:asciiTheme="minorAscii" w:hAnsiTheme="minorAscii" w:eastAsiaTheme="minorAscii" w:cstheme="minorAscii"/>
          <w:color w:val="222222"/>
          <w:sz w:val="19"/>
          <w:szCs w:val="19"/>
        </w:rPr>
      </w:pPr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Huang DT,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Yealy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DM,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Filbin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MR, Brown AM, Chang CC,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Doi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Y,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Donnino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MW, Fine J, Fine MJ, Fischer MA, Holst JM. Procalcitonin-Guided Use of Antibiotics for Lower Respiratory Tract Infection. New England Journal of Medicine. 2018 May 20.</w:t>
      </w:r>
    </w:p>
    <w:p w:rsidR="4D27768F" w:rsidP="4D27768F" w:rsidRDefault="4D27768F" w14:paraId="17C4F86F" w14:textId="2B4F377D">
      <w:pPr>
        <w:pStyle w:val="ListParagraph"/>
        <w:numPr>
          <w:ilvl w:val="0"/>
          <w:numId w:val="20"/>
        </w:numPr>
        <w:rPr>
          <w:rFonts w:ascii="Arial" w:hAnsi="Arial" w:eastAsia="Arial" w:cs="Arial" w:asciiTheme="minorAscii" w:hAnsiTheme="minorAscii" w:eastAsiaTheme="minorAscii" w:cstheme="minorAscii"/>
          <w:color w:val="222222"/>
          <w:sz w:val="19"/>
          <w:szCs w:val="19"/>
        </w:rPr>
      </w:pP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Andriolo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BN,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Andriolo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RB, </w:t>
      </w:r>
      <w:proofErr w:type="spellStart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Salomao</w:t>
      </w:r>
      <w:proofErr w:type="spellEnd"/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R, Atallah ÁN. Effectiveness and safety of procalcitonin evaluation for reducing mortality in adults with sepsis, severe sepsis or septic shock. The Cochrane Library. 2017 Jan 1.</w:t>
      </w:r>
    </w:p>
    <w:p w:rsidR="4D27768F" w:rsidP="4D27768F" w:rsidRDefault="4D27768F" w14:noSpellErr="1" w14:paraId="516DB5EA" w14:textId="2AB7DC30">
      <w:pPr>
        <w:pStyle w:val="ListParagraph"/>
        <w:numPr>
          <w:ilvl w:val="0"/>
          <w:numId w:val="20"/>
        </w:numPr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</w:pPr>
      <w:r w:rsidRPr="4D27768F" w:rsidR="4D27768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Lam SW, Bauer SR, Fowler R, Duggal A. Systematic Review and Meta-Analysis of Procalcitonin-Guidance Versus Usual Care for Antimicrobial Management in Critically Ill Patients: Focus on Subgroups Based on Antibiotic Initiation, Cessation, or Mixed Strategies. Critical care medicine. 2018 May 1;46(5):684-90.</w:t>
      </w:r>
    </w:p>
    <w:p w:rsidR="4D27768F" w:rsidP="4D27768F" w:rsidRDefault="4D27768F" w14:paraId="12E8FF15" w14:textId="043315F4">
      <w:pPr>
        <w:pStyle w:val="Normal"/>
        <w:ind w:left="360"/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</w:pPr>
    </w:p>
    <w:p w:rsidRPr="005F33A6" w:rsidR="008851F3" w:rsidP="4D27768F" w:rsidRDefault="008851F3" w14:paraId="50F8874E" w14:textId="7ED1B378" w14:noSpellErr="1">
      <w:pPr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</w:p>
    <w:sectPr w:rsidRPr="005F33A6" w:rsidR="008851F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72588"/>
    <w:multiLevelType w:val="hybridMultilevel"/>
    <w:tmpl w:val="0D8AE2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65A97"/>
    <w:multiLevelType w:val="hybridMultilevel"/>
    <w:tmpl w:val="556C9F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31FF436C"/>
    <w:multiLevelType w:val="hybridMultilevel"/>
    <w:tmpl w:val="9C5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hint="default" w:ascii="Corbel" w:hAnsi="Corbe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3828B5"/>
    <w:multiLevelType w:val="hybridMultilevel"/>
    <w:tmpl w:val="DCB8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87F83"/>
    <w:multiLevelType w:val="hybridMultilevel"/>
    <w:tmpl w:val="498846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D3855"/>
    <w:multiLevelType w:val="hybridMultilevel"/>
    <w:tmpl w:val="269C8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8"/>
  </w:num>
  <w:num w:numId="2">
    <w:abstractNumId w:val="17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6"/>
  </w:num>
  <w:num w:numId="15">
    <w:abstractNumId w:val="3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10AC2"/>
    <w:rsid w:val="00092FF7"/>
    <w:rsid w:val="000D6083"/>
    <w:rsid w:val="001637AE"/>
    <w:rsid w:val="00271373"/>
    <w:rsid w:val="002D4F3B"/>
    <w:rsid w:val="002F40F7"/>
    <w:rsid w:val="00302DD1"/>
    <w:rsid w:val="00345429"/>
    <w:rsid w:val="003B46EE"/>
    <w:rsid w:val="003B4AAD"/>
    <w:rsid w:val="003D7D93"/>
    <w:rsid w:val="003F72E0"/>
    <w:rsid w:val="004542C8"/>
    <w:rsid w:val="004D4A9A"/>
    <w:rsid w:val="004E3599"/>
    <w:rsid w:val="004E3E3C"/>
    <w:rsid w:val="0054231C"/>
    <w:rsid w:val="00545B9C"/>
    <w:rsid w:val="0055164A"/>
    <w:rsid w:val="00567576"/>
    <w:rsid w:val="005C5071"/>
    <w:rsid w:val="005D4FDE"/>
    <w:rsid w:val="005F33A6"/>
    <w:rsid w:val="00641483"/>
    <w:rsid w:val="006421C8"/>
    <w:rsid w:val="0072149D"/>
    <w:rsid w:val="00765DE2"/>
    <w:rsid w:val="00792EBC"/>
    <w:rsid w:val="007B3ED0"/>
    <w:rsid w:val="007D181A"/>
    <w:rsid w:val="0080209A"/>
    <w:rsid w:val="0084391C"/>
    <w:rsid w:val="008851F3"/>
    <w:rsid w:val="008B0E43"/>
    <w:rsid w:val="008C0906"/>
    <w:rsid w:val="00943280"/>
    <w:rsid w:val="0095053C"/>
    <w:rsid w:val="00957CFC"/>
    <w:rsid w:val="00977BC4"/>
    <w:rsid w:val="00983F99"/>
    <w:rsid w:val="009C3564"/>
    <w:rsid w:val="009E6D33"/>
    <w:rsid w:val="00A4505B"/>
    <w:rsid w:val="00A544D0"/>
    <w:rsid w:val="00A718D3"/>
    <w:rsid w:val="00AA76D8"/>
    <w:rsid w:val="00AC0BAD"/>
    <w:rsid w:val="00AD587A"/>
    <w:rsid w:val="00AF04DB"/>
    <w:rsid w:val="00B74D33"/>
    <w:rsid w:val="00B81A15"/>
    <w:rsid w:val="00BD1AAC"/>
    <w:rsid w:val="00BD5443"/>
    <w:rsid w:val="00C53B73"/>
    <w:rsid w:val="00CA6830"/>
    <w:rsid w:val="00D05950"/>
    <w:rsid w:val="00D16707"/>
    <w:rsid w:val="00D2053A"/>
    <w:rsid w:val="00D42177"/>
    <w:rsid w:val="00DF7004"/>
    <w:rsid w:val="00E3324F"/>
    <w:rsid w:val="00E76161"/>
    <w:rsid w:val="00F04E3A"/>
    <w:rsid w:val="00F31911"/>
    <w:rsid w:val="00F3462A"/>
    <w:rsid w:val="00F56E75"/>
    <w:rsid w:val="00F65E13"/>
    <w:rsid w:val="00F7028B"/>
    <w:rsid w:val="00F87BEA"/>
    <w:rsid w:val="2A94A9E6"/>
    <w:rsid w:val="4D2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styleId="pp-pub-journal1" w:customStyle="1">
    <w:name w:val="pp-pub-journal1"/>
    <w:basedOn w:val="DefaultParagraphFont"/>
    <w:rsid w:val="0095053C"/>
    <w:rPr>
      <w:i/>
      <w:iCs/>
      <w:color w:val="008000"/>
    </w:rPr>
  </w:style>
  <w:style w:type="character" w:styleId="pp-pub-year" w:customStyle="1">
    <w:name w:val="pp-pub-year"/>
    <w:basedOn w:val="DefaultParagraphFont"/>
    <w:rsid w:val="0095053C"/>
  </w:style>
  <w:style w:type="character" w:styleId="pp-pub-type1" w:customStyle="1">
    <w:name w:val="pp-pub-type1"/>
    <w:basedOn w:val="DefaultParagraphFont"/>
    <w:rsid w:val="0095053C"/>
    <w:rPr>
      <w:color w:val="B3B3B3"/>
    </w:rPr>
  </w:style>
  <w:style w:type="character" w:styleId="pp-pub-abstract-icon1" w:customStyle="1">
    <w:name w:val="pp-pub-abstract-icon1"/>
    <w:basedOn w:val="DefaultParagraphFont"/>
    <w:rsid w:val="0095053C"/>
    <w:rPr>
      <w:color w:val="BFBFBF"/>
      <w:sz w:val="17"/>
      <w:szCs w:val="17"/>
    </w:rPr>
  </w:style>
  <w:style w:type="character" w:styleId="Heading2Char" w:customStyle="1">
    <w:name w:val="Heading 2 Char"/>
    <w:basedOn w:val="DefaultParagraphFont"/>
    <w:link w:val="Heading2"/>
    <w:uiPriority w:val="9"/>
    <w:rsid w:val="00DF7004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9F054C-3661-431F-BE4C-12FB9F5F28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UW Medicine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Lynch, John B</dc:creator>
  <lastModifiedBy>Chloe Bryson-Cahn</lastModifiedBy>
  <revision>4</revision>
  <dcterms:created xsi:type="dcterms:W3CDTF">2018-06-28T21:34:00.0000000Z</dcterms:created>
  <dcterms:modified xsi:type="dcterms:W3CDTF">2018-07-15T03:11:47.6274247Z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d8c9c4f4-9e43-38eb-8837-f5f670285650</vt:lpwstr>
  </property>
  <property fmtid="{D5CDD505-2E9C-101B-9397-08002B2CF9AE}" pid="5" name="Mendeley Citation Style_1">
    <vt:lpwstr>http://www.zotero.org/styles/american-medical-association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