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82842" w14:textId="77777777" w:rsidR="009E6D33" w:rsidRPr="002F40F7" w:rsidRDefault="0084391C" w:rsidP="00A544D0">
      <w:pPr>
        <w:jc w:val="center"/>
        <w:rPr>
          <w:rFonts w:ascii="Arial" w:hAnsi="Arial" w:cs="Arial"/>
          <w:sz w:val="24"/>
          <w:szCs w:val="24"/>
        </w:rPr>
      </w:pPr>
      <w:r w:rsidRPr="002F40F7">
        <w:rPr>
          <w:rFonts w:ascii="Arial" w:hAnsi="Arial" w:cs="Arial"/>
          <w:noProof/>
          <w:sz w:val="24"/>
          <w:szCs w:val="24"/>
        </w:rPr>
        <mc:AlternateContent>
          <mc:Choice Requires="wps">
            <w:drawing>
              <wp:inline distT="0" distB="0" distL="0" distR="0" wp14:anchorId="7460AC14" wp14:editId="3BB68176">
                <wp:extent cx="304800" cy="304800"/>
                <wp:effectExtent l="0" t="0" r="0" b="0"/>
                <wp:docPr id="2" name="AutoShape 4" descr="UW TASP_LogoExploration_RGB_Colo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96D2C7" id="AutoShape 4" o:spid="_x0000_s1026" alt="UW TASP_LogoExploration_RGB_Colo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" filled="f" stroked="f">
                <o:lock v:ext="edit" aspectratio="t"/>
                <w10:anchorlock/>
              </v:rect>
            </w:pict>
          </mc:Fallback>
        </mc:AlternateContent>
      </w:r>
      <w:r w:rsidRPr="002F40F7">
        <w:rPr>
          <w:rFonts w:ascii="Arial" w:hAnsi="Arial" w:cs="Arial"/>
          <w:noProof/>
          <w:sz w:val="24"/>
          <w:szCs w:val="24"/>
        </w:rPr>
        <w:drawing>
          <wp:inline distT="0" distB="0" distL="0" distR="0" wp14:anchorId="639171FE" wp14:editId="5DCF0D37">
            <wp:extent cx="2638425" cy="77715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38425" cy="777151"/>
                    </a:xfrm>
                    <a:prstGeom prst="rect">
                      <a:avLst/>
                    </a:prstGeom>
                  </pic:spPr>
                </pic:pic>
              </a:graphicData>
            </a:graphic>
          </wp:inline>
        </w:drawing>
      </w:r>
    </w:p>
    <w:p w14:paraId="4B4D3DCC" w14:textId="55746D0C" w:rsidR="00A544D0" w:rsidRPr="005F33A6" w:rsidRDefault="001A065E" w:rsidP="00A544D0">
      <w:pPr>
        <w:rPr>
          <w:rFonts w:cs="Arial"/>
          <w:sz w:val="24"/>
          <w:szCs w:val="24"/>
        </w:rPr>
      </w:pPr>
      <w:r>
        <w:rPr>
          <w:rFonts w:cs="Arial"/>
          <w:sz w:val="24"/>
          <w:szCs w:val="24"/>
        </w:rPr>
        <w:t>Session Summary for August 7</w:t>
      </w:r>
      <w:r w:rsidR="00B81A15" w:rsidRPr="005F33A6">
        <w:rPr>
          <w:rFonts w:cs="Arial"/>
          <w:sz w:val="24"/>
          <w:szCs w:val="24"/>
        </w:rPr>
        <w:t>, 2018</w:t>
      </w:r>
    </w:p>
    <w:p w14:paraId="19D14BF8" w14:textId="0D5C3347" w:rsidR="00D1623D" w:rsidRDefault="00AD587A" w:rsidP="004E3E3C">
      <w:pPr>
        <w:rPr>
          <w:rFonts w:cs="Arial"/>
          <w:sz w:val="24"/>
          <w:szCs w:val="24"/>
          <w:u w:val="single"/>
        </w:rPr>
      </w:pPr>
      <w:r w:rsidRPr="005F33A6">
        <w:rPr>
          <w:rFonts w:cs="Arial"/>
          <w:sz w:val="24"/>
          <w:szCs w:val="24"/>
          <w:u w:val="single"/>
        </w:rPr>
        <w:t>Didactic:</w:t>
      </w:r>
      <w:r w:rsidR="005F33A6" w:rsidRPr="005F33A6">
        <w:rPr>
          <w:rFonts w:cs="Arial"/>
          <w:sz w:val="24"/>
          <w:szCs w:val="24"/>
          <w:u w:val="single"/>
        </w:rPr>
        <w:t xml:space="preserve"> </w:t>
      </w:r>
      <w:r w:rsidR="001A065E">
        <w:rPr>
          <w:rFonts w:cs="Arial"/>
          <w:sz w:val="24"/>
          <w:szCs w:val="24"/>
          <w:u w:val="single"/>
        </w:rPr>
        <w:t>Prosthetic Joint Infections: Prevention</w:t>
      </w:r>
      <w:r w:rsidR="004E3E3C" w:rsidRPr="005F33A6">
        <w:rPr>
          <w:rFonts w:cs="Arial"/>
          <w:sz w:val="24"/>
          <w:szCs w:val="24"/>
          <w:u w:val="single"/>
        </w:rPr>
        <w:t>.</w:t>
      </w:r>
      <w:r w:rsidR="001A065E">
        <w:rPr>
          <w:rFonts w:cs="Arial"/>
          <w:sz w:val="24"/>
          <w:szCs w:val="24"/>
          <w:u w:val="single"/>
        </w:rPr>
        <w:t xml:space="preserve"> Paul Pottinger, MD, FIDSA</w:t>
      </w:r>
      <w:r w:rsidR="004E3E3C" w:rsidRPr="005F33A6">
        <w:rPr>
          <w:rFonts w:cs="Arial"/>
          <w:sz w:val="24"/>
          <w:szCs w:val="24"/>
          <w:u w:val="single"/>
        </w:rPr>
        <w:t xml:space="preserve"> </w:t>
      </w:r>
    </w:p>
    <w:p w14:paraId="2527D787" w14:textId="7BA548B2" w:rsidR="00D1623D" w:rsidRPr="00D1623D" w:rsidRDefault="00D1623D" w:rsidP="004E3E3C">
      <w:pPr>
        <w:rPr>
          <w:rFonts w:cs="Arial"/>
          <w:b/>
          <w:sz w:val="24"/>
          <w:szCs w:val="24"/>
        </w:rPr>
      </w:pPr>
      <w:r>
        <w:rPr>
          <w:rFonts w:cs="Arial"/>
          <w:sz w:val="24"/>
          <w:szCs w:val="24"/>
        </w:rPr>
        <w:t>(Notes from the discussion included as well)</w:t>
      </w:r>
    </w:p>
    <w:p w14:paraId="69F9BA8C" w14:textId="4BCEB9D4" w:rsidR="003B4AAD" w:rsidRDefault="001A065E" w:rsidP="003B4AAD">
      <w:pPr>
        <w:pStyle w:val="ListParagraph"/>
        <w:numPr>
          <w:ilvl w:val="0"/>
          <w:numId w:val="18"/>
        </w:numPr>
        <w:rPr>
          <w:sz w:val="24"/>
          <w:szCs w:val="24"/>
        </w:rPr>
      </w:pPr>
      <w:r>
        <w:rPr>
          <w:sz w:val="24"/>
          <w:szCs w:val="24"/>
        </w:rPr>
        <w:t>Joint replacements are super common</w:t>
      </w:r>
    </w:p>
    <w:p w14:paraId="164E1029" w14:textId="455C42FD" w:rsidR="001A065E" w:rsidRDefault="001A065E" w:rsidP="001A065E">
      <w:pPr>
        <w:pStyle w:val="ListParagraph"/>
        <w:numPr>
          <w:ilvl w:val="1"/>
          <w:numId w:val="18"/>
        </w:numPr>
        <w:rPr>
          <w:sz w:val="24"/>
          <w:szCs w:val="24"/>
        </w:rPr>
      </w:pPr>
      <w:r>
        <w:rPr>
          <w:sz w:val="24"/>
          <w:szCs w:val="24"/>
        </w:rPr>
        <w:t>1 million hips &amp; knee replacements done annually in the US</w:t>
      </w:r>
    </w:p>
    <w:p w14:paraId="54BBD80D" w14:textId="558E023B" w:rsidR="001A065E" w:rsidRDefault="001A065E" w:rsidP="001A065E">
      <w:pPr>
        <w:pStyle w:val="ListParagraph"/>
        <w:numPr>
          <w:ilvl w:val="1"/>
          <w:numId w:val="18"/>
        </w:numPr>
        <w:rPr>
          <w:sz w:val="24"/>
          <w:szCs w:val="24"/>
        </w:rPr>
      </w:pPr>
      <w:r>
        <w:rPr>
          <w:sz w:val="24"/>
          <w:szCs w:val="24"/>
        </w:rPr>
        <w:t>Predicted this will rise to 4 million by 2030</w:t>
      </w:r>
    </w:p>
    <w:p w14:paraId="4AAAC8B9" w14:textId="2BFD65D8" w:rsidR="003B4AAD" w:rsidRDefault="001A065E" w:rsidP="001A065E">
      <w:pPr>
        <w:pStyle w:val="ListParagraph"/>
        <w:numPr>
          <w:ilvl w:val="0"/>
          <w:numId w:val="18"/>
        </w:numPr>
        <w:rPr>
          <w:sz w:val="24"/>
          <w:szCs w:val="24"/>
        </w:rPr>
      </w:pPr>
      <w:r>
        <w:rPr>
          <w:sz w:val="24"/>
          <w:szCs w:val="24"/>
        </w:rPr>
        <w:t>Prosthetic joint infections are common too</w:t>
      </w:r>
    </w:p>
    <w:p w14:paraId="1772D90C" w14:textId="29780C14" w:rsidR="001A065E" w:rsidRDefault="001A065E" w:rsidP="001A065E">
      <w:pPr>
        <w:pStyle w:val="ListParagraph"/>
        <w:numPr>
          <w:ilvl w:val="1"/>
          <w:numId w:val="18"/>
        </w:numPr>
        <w:rPr>
          <w:sz w:val="24"/>
          <w:szCs w:val="24"/>
        </w:rPr>
      </w:pPr>
      <w:r>
        <w:rPr>
          <w:sz w:val="24"/>
          <w:szCs w:val="24"/>
        </w:rPr>
        <w:t>0.5-2% lifetime incidence</w:t>
      </w:r>
    </w:p>
    <w:p w14:paraId="5351FB08" w14:textId="4539B36D" w:rsidR="001A065E" w:rsidRDefault="001A065E" w:rsidP="001A065E">
      <w:pPr>
        <w:pStyle w:val="ListParagraph"/>
        <w:numPr>
          <w:ilvl w:val="1"/>
          <w:numId w:val="18"/>
        </w:numPr>
        <w:rPr>
          <w:sz w:val="24"/>
          <w:szCs w:val="24"/>
        </w:rPr>
      </w:pPr>
      <w:r>
        <w:rPr>
          <w:sz w:val="24"/>
          <w:szCs w:val="24"/>
        </w:rPr>
        <w:t>Risk is highest in the first 2 years; knee is the highest risk site</w:t>
      </w:r>
    </w:p>
    <w:p w14:paraId="51A54965" w14:textId="0398130C" w:rsidR="001A065E" w:rsidRPr="001A065E" w:rsidRDefault="001A065E" w:rsidP="001A065E">
      <w:pPr>
        <w:pStyle w:val="ListParagraph"/>
        <w:numPr>
          <w:ilvl w:val="1"/>
          <w:numId w:val="18"/>
        </w:numPr>
        <w:rPr>
          <w:sz w:val="24"/>
          <w:szCs w:val="24"/>
        </w:rPr>
      </w:pPr>
      <w:r>
        <w:rPr>
          <w:sz w:val="24"/>
          <w:szCs w:val="24"/>
        </w:rPr>
        <w:t xml:space="preserve">Known risk factors for infection include: obesity, DM, depression, immunosuppression, prior surgery, ASA score &gt;= 3, smoking, alcohol, use of injection drugs, colonization with </w:t>
      </w:r>
      <w:r w:rsidRPr="001A065E">
        <w:rPr>
          <w:i/>
          <w:sz w:val="24"/>
          <w:szCs w:val="24"/>
        </w:rPr>
        <w:t>Staph aureus</w:t>
      </w:r>
    </w:p>
    <w:p w14:paraId="592C6EC5" w14:textId="0CCC6BBB" w:rsidR="001A065E" w:rsidRPr="001A065E" w:rsidRDefault="001A065E" w:rsidP="001A065E">
      <w:pPr>
        <w:pStyle w:val="ListParagraph"/>
        <w:numPr>
          <w:ilvl w:val="0"/>
          <w:numId w:val="18"/>
        </w:numPr>
        <w:rPr>
          <w:b/>
          <w:sz w:val="24"/>
          <w:szCs w:val="24"/>
        </w:rPr>
      </w:pPr>
      <w:r w:rsidRPr="001A065E">
        <w:rPr>
          <w:b/>
          <w:sz w:val="24"/>
          <w:szCs w:val="24"/>
        </w:rPr>
        <w:t>Pre-operative infection prevention</w:t>
      </w:r>
      <w:r w:rsidR="00EA3DA7">
        <w:rPr>
          <w:b/>
          <w:sz w:val="24"/>
          <w:szCs w:val="24"/>
        </w:rPr>
        <w:t>:</w:t>
      </w:r>
    </w:p>
    <w:p w14:paraId="18A263CB" w14:textId="64F6C407" w:rsidR="001A065E" w:rsidRDefault="001A065E" w:rsidP="001A065E">
      <w:pPr>
        <w:pStyle w:val="ListParagraph"/>
        <w:numPr>
          <w:ilvl w:val="1"/>
          <w:numId w:val="18"/>
        </w:numPr>
        <w:rPr>
          <w:sz w:val="24"/>
          <w:szCs w:val="24"/>
        </w:rPr>
      </w:pPr>
      <w:r>
        <w:rPr>
          <w:sz w:val="24"/>
          <w:szCs w:val="24"/>
        </w:rPr>
        <w:t xml:space="preserve">These are elective cases – opportunity to </w:t>
      </w:r>
      <w:r w:rsidRPr="00EA3DA7">
        <w:rPr>
          <w:sz w:val="24"/>
          <w:szCs w:val="24"/>
          <w:u w:val="single"/>
        </w:rPr>
        <w:t>de-label penicillin allergies</w:t>
      </w:r>
      <w:r>
        <w:rPr>
          <w:sz w:val="24"/>
          <w:szCs w:val="24"/>
        </w:rPr>
        <w:t xml:space="preserve"> prior to surgery </w:t>
      </w:r>
    </w:p>
    <w:p w14:paraId="69CB29F7" w14:textId="0B1AA715" w:rsidR="001A065E" w:rsidRDefault="001A065E" w:rsidP="001A065E">
      <w:pPr>
        <w:pStyle w:val="ListParagraph"/>
        <w:numPr>
          <w:ilvl w:val="2"/>
          <w:numId w:val="18"/>
        </w:numPr>
        <w:rPr>
          <w:sz w:val="24"/>
          <w:szCs w:val="24"/>
        </w:rPr>
      </w:pPr>
      <w:r>
        <w:rPr>
          <w:sz w:val="24"/>
          <w:szCs w:val="24"/>
        </w:rPr>
        <w:t>10% of Americans report a PCN allergy, 90% of these are not real</w:t>
      </w:r>
    </w:p>
    <w:p w14:paraId="3215D860" w14:textId="3B9A60CA" w:rsidR="001A065E" w:rsidRDefault="001A065E" w:rsidP="001A065E">
      <w:pPr>
        <w:pStyle w:val="ListParagraph"/>
        <w:numPr>
          <w:ilvl w:val="2"/>
          <w:numId w:val="18"/>
        </w:numPr>
        <w:rPr>
          <w:sz w:val="24"/>
          <w:szCs w:val="24"/>
        </w:rPr>
      </w:pPr>
      <w:r>
        <w:rPr>
          <w:sz w:val="24"/>
          <w:szCs w:val="24"/>
        </w:rPr>
        <w:t xml:space="preserve">50% increase in surgical site infection risk </w:t>
      </w:r>
      <w:r w:rsidR="00C23B12">
        <w:rPr>
          <w:sz w:val="24"/>
          <w:szCs w:val="24"/>
        </w:rPr>
        <w:t>when using a</w:t>
      </w:r>
      <w:r>
        <w:rPr>
          <w:sz w:val="24"/>
          <w:szCs w:val="24"/>
        </w:rPr>
        <w:t xml:space="preserve"> second line antibiotic (not a beta-lactam) </w:t>
      </w:r>
      <w:r w:rsidR="00C23B12">
        <w:rPr>
          <w:sz w:val="24"/>
          <w:szCs w:val="24"/>
        </w:rPr>
        <w:t>for perioperative prophylaxis</w:t>
      </w:r>
    </w:p>
    <w:p w14:paraId="188879B1" w14:textId="4B79923D" w:rsidR="001A065E" w:rsidRDefault="001A065E" w:rsidP="001A065E">
      <w:pPr>
        <w:pStyle w:val="ListParagraph"/>
        <w:numPr>
          <w:ilvl w:val="1"/>
          <w:numId w:val="18"/>
        </w:numPr>
        <w:rPr>
          <w:sz w:val="24"/>
          <w:szCs w:val="24"/>
        </w:rPr>
      </w:pPr>
      <w:r>
        <w:rPr>
          <w:sz w:val="24"/>
          <w:szCs w:val="24"/>
        </w:rPr>
        <w:t>Per Dr. Pottinger – “</w:t>
      </w:r>
      <w:r w:rsidRPr="00EA3DA7">
        <w:rPr>
          <w:sz w:val="24"/>
          <w:szCs w:val="24"/>
          <w:u w:val="single"/>
        </w:rPr>
        <w:t>Urine: It’s what NOT to check…</w:t>
      </w:r>
      <w:r>
        <w:rPr>
          <w:sz w:val="24"/>
          <w:szCs w:val="24"/>
        </w:rPr>
        <w:t>”</w:t>
      </w:r>
    </w:p>
    <w:p w14:paraId="11EBFA4A" w14:textId="3B23FFE2" w:rsidR="001A065E" w:rsidRDefault="001A065E" w:rsidP="001A065E">
      <w:pPr>
        <w:pStyle w:val="ListParagraph"/>
        <w:numPr>
          <w:ilvl w:val="2"/>
          <w:numId w:val="18"/>
        </w:numPr>
        <w:rPr>
          <w:sz w:val="24"/>
          <w:szCs w:val="24"/>
        </w:rPr>
      </w:pPr>
      <w:r>
        <w:rPr>
          <w:sz w:val="24"/>
          <w:szCs w:val="24"/>
        </w:rPr>
        <w:t xml:space="preserve">False concern that asymptomatic bacteruria may infect </w:t>
      </w:r>
      <w:r w:rsidR="00C23B12">
        <w:rPr>
          <w:sz w:val="24"/>
          <w:szCs w:val="24"/>
        </w:rPr>
        <w:t>a</w:t>
      </w:r>
      <w:r>
        <w:rPr>
          <w:sz w:val="24"/>
          <w:szCs w:val="24"/>
        </w:rPr>
        <w:t xml:space="preserve"> new joint </w:t>
      </w:r>
    </w:p>
    <w:p w14:paraId="72EA31BB" w14:textId="3BA35D3A" w:rsidR="00EA3DA7" w:rsidRDefault="00EA3DA7" w:rsidP="001A065E">
      <w:pPr>
        <w:pStyle w:val="ListParagraph"/>
        <w:numPr>
          <w:ilvl w:val="2"/>
          <w:numId w:val="18"/>
        </w:numPr>
        <w:rPr>
          <w:sz w:val="24"/>
          <w:szCs w:val="24"/>
        </w:rPr>
      </w:pPr>
      <w:r>
        <w:rPr>
          <w:sz w:val="24"/>
          <w:szCs w:val="24"/>
        </w:rPr>
        <w:t>This is not supported by the data</w:t>
      </w:r>
    </w:p>
    <w:p w14:paraId="1D82BD42" w14:textId="73C2A1F7" w:rsidR="00EA3DA7" w:rsidRDefault="00EA3DA7" w:rsidP="001A065E">
      <w:pPr>
        <w:pStyle w:val="ListParagraph"/>
        <w:numPr>
          <w:ilvl w:val="2"/>
          <w:numId w:val="18"/>
        </w:numPr>
        <w:rPr>
          <w:sz w:val="24"/>
          <w:szCs w:val="24"/>
        </w:rPr>
      </w:pPr>
      <w:r>
        <w:rPr>
          <w:sz w:val="24"/>
          <w:szCs w:val="24"/>
        </w:rPr>
        <w:t>Risk of abx &gt;&gt;&gt; potential benefits</w:t>
      </w:r>
    </w:p>
    <w:p w14:paraId="053C4228" w14:textId="3EA26FC4" w:rsidR="00EA3DA7" w:rsidRDefault="00EA3DA7" w:rsidP="00EA3DA7">
      <w:pPr>
        <w:pStyle w:val="ListParagraph"/>
        <w:numPr>
          <w:ilvl w:val="1"/>
          <w:numId w:val="18"/>
        </w:numPr>
        <w:rPr>
          <w:sz w:val="24"/>
          <w:szCs w:val="24"/>
        </w:rPr>
      </w:pPr>
      <w:r>
        <w:rPr>
          <w:sz w:val="24"/>
          <w:szCs w:val="24"/>
        </w:rPr>
        <w:t>Per</w:t>
      </w:r>
      <w:r w:rsidR="00C23B12">
        <w:rPr>
          <w:sz w:val="24"/>
          <w:szCs w:val="24"/>
        </w:rPr>
        <w:t>iop</w:t>
      </w:r>
      <w:r>
        <w:rPr>
          <w:sz w:val="24"/>
          <w:szCs w:val="24"/>
        </w:rPr>
        <w:t>erative Antibiotic Choice</w:t>
      </w:r>
    </w:p>
    <w:p w14:paraId="194DA719" w14:textId="4141A25F" w:rsidR="00EA3DA7" w:rsidRDefault="00EA3DA7" w:rsidP="00EA3DA7">
      <w:pPr>
        <w:pStyle w:val="ListParagraph"/>
        <w:numPr>
          <w:ilvl w:val="2"/>
          <w:numId w:val="18"/>
        </w:numPr>
        <w:rPr>
          <w:sz w:val="24"/>
          <w:szCs w:val="24"/>
        </w:rPr>
      </w:pPr>
      <w:r w:rsidRPr="00EA3DA7">
        <w:rPr>
          <w:sz w:val="24"/>
          <w:szCs w:val="24"/>
          <w:u w:val="single"/>
        </w:rPr>
        <w:t>Cefazolin</w:t>
      </w:r>
      <w:r>
        <w:rPr>
          <w:sz w:val="24"/>
          <w:szCs w:val="24"/>
        </w:rPr>
        <w:t xml:space="preserve"> 2g IV (3g if pa</w:t>
      </w:r>
      <w:r w:rsidR="00064C22">
        <w:rPr>
          <w:sz w:val="24"/>
          <w:szCs w:val="24"/>
        </w:rPr>
        <w:t>tient weight &gt; 120kg), redose q4</w:t>
      </w:r>
      <w:bookmarkStart w:id="0" w:name="_GoBack"/>
      <w:bookmarkEnd w:id="0"/>
      <w:r>
        <w:rPr>
          <w:sz w:val="24"/>
          <w:szCs w:val="24"/>
        </w:rPr>
        <w:t xml:space="preserve"> hours</w:t>
      </w:r>
    </w:p>
    <w:p w14:paraId="74C863DF" w14:textId="7C070150" w:rsidR="00EA3DA7" w:rsidRDefault="00EA3DA7" w:rsidP="00EA3DA7">
      <w:pPr>
        <w:pStyle w:val="ListParagraph"/>
        <w:numPr>
          <w:ilvl w:val="2"/>
          <w:numId w:val="18"/>
        </w:numPr>
        <w:rPr>
          <w:sz w:val="24"/>
          <w:szCs w:val="24"/>
        </w:rPr>
      </w:pPr>
      <w:r>
        <w:rPr>
          <w:sz w:val="24"/>
          <w:szCs w:val="24"/>
        </w:rPr>
        <w:t>If MRSA colonized/infected – add vancomycin, redose if &gt; 8 hours</w:t>
      </w:r>
    </w:p>
    <w:p w14:paraId="02B1172E" w14:textId="7A0F7A52" w:rsidR="00EA3DA7" w:rsidRDefault="00EA3DA7" w:rsidP="00EA3DA7">
      <w:pPr>
        <w:pStyle w:val="ListParagraph"/>
        <w:numPr>
          <w:ilvl w:val="2"/>
          <w:numId w:val="18"/>
        </w:numPr>
        <w:rPr>
          <w:sz w:val="24"/>
          <w:szCs w:val="24"/>
        </w:rPr>
      </w:pPr>
      <w:r>
        <w:rPr>
          <w:sz w:val="24"/>
          <w:szCs w:val="24"/>
        </w:rPr>
        <w:t>If true cephalosporin allergy – vancomycin alone</w:t>
      </w:r>
    </w:p>
    <w:p w14:paraId="33CA4EF4" w14:textId="2019BFDF" w:rsidR="00EA3DA7" w:rsidRPr="009C5866" w:rsidRDefault="009C5866" w:rsidP="00EA3DA7">
      <w:pPr>
        <w:pStyle w:val="ListParagraph"/>
        <w:numPr>
          <w:ilvl w:val="2"/>
          <w:numId w:val="18"/>
        </w:numPr>
        <w:rPr>
          <w:sz w:val="24"/>
          <w:szCs w:val="24"/>
          <w:u w:val="single"/>
        </w:rPr>
      </w:pPr>
      <w:r>
        <w:rPr>
          <w:sz w:val="24"/>
          <w:szCs w:val="24"/>
          <w:u w:val="single"/>
        </w:rPr>
        <w:t>Timing is KEY</w:t>
      </w:r>
      <w:r>
        <w:t>- give antibiotics within 60 minutes of the incision</w:t>
      </w:r>
    </w:p>
    <w:p w14:paraId="5986B6A5" w14:textId="78A690E9" w:rsidR="009C5866" w:rsidRPr="009C5866" w:rsidRDefault="009C5866" w:rsidP="00EA3DA7">
      <w:pPr>
        <w:pStyle w:val="ListParagraph"/>
        <w:numPr>
          <w:ilvl w:val="2"/>
          <w:numId w:val="18"/>
        </w:numPr>
        <w:rPr>
          <w:sz w:val="24"/>
          <w:szCs w:val="24"/>
          <w:u w:val="single"/>
        </w:rPr>
      </w:pPr>
      <w:r w:rsidRPr="00C23B12">
        <w:rPr>
          <w:b/>
          <w:sz w:val="24"/>
          <w:szCs w:val="24"/>
        </w:rPr>
        <w:t>No evidence to continue antibiotics after the incision is closed</w:t>
      </w:r>
      <w:r>
        <w:rPr>
          <w:sz w:val="24"/>
          <w:szCs w:val="24"/>
        </w:rPr>
        <w:t xml:space="preserve"> (supported by WHO, CDC, SIS</w:t>
      </w:r>
      <w:r w:rsidR="00C23B12">
        <w:rPr>
          <w:sz w:val="24"/>
          <w:szCs w:val="24"/>
        </w:rPr>
        <w:t>,</w:t>
      </w:r>
      <w:r>
        <w:rPr>
          <w:sz w:val="24"/>
          <w:szCs w:val="24"/>
        </w:rPr>
        <w:t xml:space="preserve"> MSIS)</w:t>
      </w:r>
    </w:p>
    <w:p w14:paraId="16E27F05" w14:textId="66F41459" w:rsidR="009C5866" w:rsidRPr="009C5866" w:rsidRDefault="009C5866" w:rsidP="00EA3DA7">
      <w:pPr>
        <w:pStyle w:val="ListParagraph"/>
        <w:numPr>
          <w:ilvl w:val="2"/>
          <w:numId w:val="18"/>
        </w:numPr>
        <w:rPr>
          <w:sz w:val="24"/>
          <w:szCs w:val="24"/>
          <w:u w:val="single"/>
        </w:rPr>
      </w:pPr>
      <w:r>
        <w:rPr>
          <w:sz w:val="24"/>
          <w:szCs w:val="24"/>
        </w:rPr>
        <w:t xml:space="preserve">No evidence to support antibiotics for drain prophylaxis </w:t>
      </w:r>
    </w:p>
    <w:p w14:paraId="4EED01D0" w14:textId="164ACCDE" w:rsidR="009C5866" w:rsidRPr="00C23B12" w:rsidRDefault="009C5866" w:rsidP="009C5866">
      <w:pPr>
        <w:pStyle w:val="ListParagraph"/>
        <w:numPr>
          <w:ilvl w:val="1"/>
          <w:numId w:val="18"/>
        </w:numPr>
        <w:rPr>
          <w:sz w:val="24"/>
          <w:szCs w:val="24"/>
          <w:u w:val="single"/>
        </w:rPr>
      </w:pPr>
      <w:r>
        <w:rPr>
          <w:sz w:val="24"/>
          <w:szCs w:val="24"/>
        </w:rPr>
        <w:t>Importance of</w:t>
      </w:r>
      <w:r w:rsidR="00C23B12">
        <w:rPr>
          <w:sz w:val="24"/>
          <w:szCs w:val="24"/>
        </w:rPr>
        <w:t xml:space="preserve"> perioperative</w:t>
      </w:r>
      <w:r>
        <w:rPr>
          <w:sz w:val="24"/>
          <w:szCs w:val="24"/>
        </w:rPr>
        <w:t xml:space="preserve"> euglycemia – </w:t>
      </w:r>
    </w:p>
    <w:p w14:paraId="29122B43" w14:textId="08E43406" w:rsidR="00C23B12" w:rsidRPr="00F439DC" w:rsidRDefault="00F439DC" w:rsidP="00C23B12">
      <w:pPr>
        <w:pStyle w:val="ListParagraph"/>
        <w:numPr>
          <w:ilvl w:val="2"/>
          <w:numId w:val="18"/>
        </w:numPr>
        <w:rPr>
          <w:sz w:val="24"/>
          <w:szCs w:val="24"/>
          <w:u w:val="single"/>
        </w:rPr>
      </w:pPr>
      <w:r>
        <w:rPr>
          <w:sz w:val="24"/>
          <w:szCs w:val="24"/>
        </w:rPr>
        <w:t>Many</w:t>
      </w:r>
      <w:r w:rsidR="00C23B12">
        <w:rPr>
          <w:sz w:val="24"/>
          <w:szCs w:val="24"/>
        </w:rPr>
        <w:t xml:space="preserve"> patients with post-op hyperglycemia are not diabetic</w:t>
      </w:r>
    </w:p>
    <w:p w14:paraId="74295802" w14:textId="4FC3D069" w:rsidR="00F439DC" w:rsidRPr="00C23B12" w:rsidRDefault="00F439DC" w:rsidP="00C23B12">
      <w:pPr>
        <w:pStyle w:val="ListParagraph"/>
        <w:numPr>
          <w:ilvl w:val="2"/>
          <w:numId w:val="18"/>
        </w:numPr>
        <w:rPr>
          <w:sz w:val="24"/>
          <w:szCs w:val="24"/>
          <w:u w:val="single"/>
        </w:rPr>
      </w:pPr>
      <w:r>
        <w:rPr>
          <w:sz w:val="24"/>
          <w:szCs w:val="24"/>
        </w:rPr>
        <w:lastRenderedPageBreak/>
        <w:t xml:space="preserve">Hyperglycemia in the immediate perioperative period is a known risk factor for SSI. </w:t>
      </w:r>
      <w:r w:rsidR="00CD122D">
        <w:rPr>
          <w:sz w:val="24"/>
          <w:szCs w:val="24"/>
        </w:rPr>
        <w:t>D</w:t>
      </w:r>
      <w:r>
        <w:rPr>
          <w:sz w:val="24"/>
          <w:szCs w:val="24"/>
        </w:rPr>
        <w:t>ata to support better glu</w:t>
      </w:r>
      <w:r w:rsidR="00CD122D">
        <w:rPr>
          <w:sz w:val="24"/>
          <w:szCs w:val="24"/>
        </w:rPr>
        <w:t>cose control improves SSI risk.</w:t>
      </w:r>
      <w:r w:rsidR="00CD122D">
        <w:rPr>
          <w:sz w:val="24"/>
          <w:szCs w:val="24"/>
          <w:vertAlign w:val="superscript"/>
        </w:rPr>
        <w:t>1</w:t>
      </w:r>
    </w:p>
    <w:p w14:paraId="127C46BB" w14:textId="0470385C" w:rsidR="00C23B12" w:rsidRPr="009C5866" w:rsidRDefault="00C23B12" w:rsidP="00C23B12">
      <w:pPr>
        <w:pStyle w:val="ListParagraph"/>
        <w:numPr>
          <w:ilvl w:val="2"/>
          <w:numId w:val="18"/>
        </w:numPr>
        <w:rPr>
          <w:sz w:val="24"/>
          <w:szCs w:val="24"/>
          <w:u w:val="single"/>
        </w:rPr>
      </w:pPr>
      <w:r>
        <w:rPr>
          <w:sz w:val="24"/>
          <w:szCs w:val="24"/>
        </w:rPr>
        <w:t xml:space="preserve">Goal 110-150 mg/dL for most surgeries </w:t>
      </w:r>
    </w:p>
    <w:p w14:paraId="2C941A5D" w14:textId="5CC4F7B5" w:rsidR="009C5866" w:rsidRPr="009C5866" w:rsidRDefault="009C5866" w:rsidP="009C5866">
      <w:pPr>
        <w:pStyle w:val="ListParagraph"/>
        <w:numPr>
          <w:ilvl w:val="0"/>
          <w:numId w:val="18"/>
        </w:numPr>
        <w:rPr>
          <w:sz w:val="24"/>
          <w:szCs w:val="24"/>
          <w:u w:val="single"/>
        </w:rPr>
      </w:pPr>
      <w:r>
        <w:rPr>
          <w:sz w:val="24"/>
          <w:szCs w:val="24"/>
        </w:rPr>
        <w:t>Are antibiotics needed for patients with joint replacement undergoing dental procedures?</w:t>
      </w:r>
    </w:p>
    <w:p w14:paraId="68189A9D" w14:textId="3C494B56" w:rsidR="00D1623D" w:rsidRPr="00D1623D" w:rsidRDefault="009C5866" w:rsidP="00D1623D">
      <w:pPr>
        <w:pStyle w:val="ListParagraph"/>
        <w:numPr>
          <w:ilvl w:val="1"/>
          <w:numId w:val="18"/>
        </w:numPr>
        <w:rPr>
          <w:sz w:val="24"/>
          <w:szCs w:val="24"/>
          <w:u w:val="single"/>
        </w:rPr>
      </w:pPr>
      <w:r>
        <w:rPr>
          <w:sz w:val="24"/>
          <w:szCs w:val="24"/>
        </w:rPr>
        <w:t>No</w:t>
      </w:r>
      <w:r w:rsidR="006E2BE9">
        <w:rPr>
          <w:sz w:val="24"/>
          <w:szCs w:val="24"/>
        </w:rPr>
        <w:t xml:space="preserve">, antibiotics are not recommended. This is guideline supported. </w:t>
      </w:r>
      <w:r w:rsidR="006E2BE9">
        <w:rPr>
          <w:sz w:val="24"/>
          <w:szCs w:val="24"/>
          <w:vertAlign w:val="superscript"/>
        </w:rPr>
        <w:t>2,3</w:t>
      </w:r>
      <w:r w:rsidR="006E2BE9">
        <w:rPr>
          <w:sz w:val="24"/>
          <w:szCs w:val="24"/>
        </w:rPr>
        <w:t xml:space="preserve"> </w:t>
      </w:r>
    </w:p>
    <w:p w14:paraId="6FCDCA1C" w14:textId="3A0F655B" w:rsidR="008851F3" w:rsidRDefault="008851F3" w:rsidP="00C53B73">
      <w:pPr>
        <w:rPr>
          <w:sz w:val="24"/>
          <w:szCs w:val="24"/>
        </w:rPr>
      </w:pPr>
      <w:r w:rsidRPr="005F33A6">
        <w:rPr>
          <w:sz w:val="24"/>
          <w:szCs w:val="24"/>
        </w:rPr>
        <w:t>References:</w:t>
      </w:r>
    </w:p>
    <w:p w14:paraId="60C828F1" w14:textId="5E8D329C" w:rsidR="00855830" w:rsidRPr="00CD122D" w:rsidRDefault="00855830" w:rsidP="00855830">
      <w:pPr>
        <w:pStyle w:val="ListParagraph"/>
        <w:numPr>
          <w:ilvl w:val="0"/>
          <w:numId w:val="19"/>
        </w:numPr>
        <w:rPr>
          <w:sz w:val="24"/>
          <w:szCs w:val="24"/>
        </w:rPr>
      </w:pPr>
      <w:r>
        <w:rPr>
          <w:rFonts w:ascii="Arial" w:hAnsi="Arial" w:cs="Arial"/>
          <w:color w:val="222222"/>
          <w:sz w:val="20"/>
          <w:szCs w:val="20"/>
          <w:shd w:val="clear" w:color="auto" w:fill="F8F8F8"/>
        </w:rPr>
        <w:t>Kwon S, Thompson R, Dellinger P, Yanez D, Farrohki E, Flum D. Importance of perioperative glycemic control in general surgery: a report from the Surgical Care and Outcomes Assessment Program. Annals of surgery. 2013 Jan;257(1):8.</w:t>
      </w:r>
    </w:p>
    <w:p w14:paraId="24F803A0" w14:textId="37C1D894" w:rsidR="00CD122D" w:rsidRPr="006E2BE9" w:rsidRDefault="006E2BE9" w:rsidP="00855830">
      <w:pPr>
        <w:pStyle w:val="ListParagraph"/>
        <w:numPr>
          <w:ilvl w:val="0"/>
          <w:numId w:val="19"/>
        </w:numPr>
        <w:rPr>
          <w:sz w:val="24"/>
          <w:szCs w:val="24"/>
        </w:rPr>
      </w:pPr>
      <w:r>
        <w:rPr>
          <w:rFonts w:ascii="Arial" w:hAnsi="Arial" w:cs="Arial"/>
          <w:color w:val="222222"/>
          <w:sz w:val="20"/>
          <w:szCs w:val="20"/>
          <w:shd w:val="clear" w:color="auto" w:fill="F8F8F8"/>
        </w:rPr>
        <w:t>Watters W, Rethman MP, Hanson NB, Abt E, Anderson PA, Carroll KC, Futrell HC, Garvin K, Glenn SO, Hellstein J, Hewlett A. Prevention of orthopaedic implant infection in patients undergoing dental procedures. JAAOS-Journal of the American Academy of Orthopaedic Surgeons. 2013 Mar 1;21(3):180-9.</w:t>
      </w:r>
    </w:p>
    <w:p w14:paraId="50F8874E" w14:textId="78E13201" w:rsidR="008851F3" w:rsidRPr="00D1623D" w:rsidRDefault="006E2BE9" w:rsidP="00C53B73">
      <w:pPr>
        <w:pStyle w:val="ListParagraph"/>
        <w:numPr>
          <w:ilvl w:val="0"/>
          <w:numId w:val="19"/>
        </w:numPr>
        <w:rPr>
          <w:sz w:val="24"/>
          <w:szCs w:val="24"/>
        </w:rPr>
      </w:pPr>
      <w:r>
        <w:rPr>
          <w:rFonts w:ascii="Arial" w:hAnsi="Arial" w:cs="Arial"/>
          <w:color w:val="222222"/>
          <w:sz w:val="20"/>
          <w:szCs w:val="20"/>
          <w:shd w:val="clear" w:color="auto" w:fill="F8F8F8"/>
        </w:rPr>
        <w:t>Sollecito TP, Abt E, Lockhart PB, Truelove E, Paumier TM, Tracy SL, Tampi M, Beltrán-Aguilar ED, Frantsve-Hawley J. The use of prophylactic antibiotics prior to dental procedures in patients with prosthetic joints: evidence-based clinical practice guideline for dental practitioners—a report of the American Dental Association Council on Scientific Affairs. The Journal of the American Dental Association. 2015 Jan 1;146(1):11-6.</w:t>
      </w:r>
    </w:p>
    <w:p w14:paraId="72483FB4" w14:textId="77777777" w:rsidR="00D1623D" w:rsidRPr="00D1623D" w:rsidRDefault="00D1623D" w:rsidP="00D1623D">
      <w:pPr>
        <w:pStyle w:val="ListParagraph"/>
        <w:rPr>
          <w:sz w:val="24"/>
          <w:szCs w:val="24"/>
        </w:rPr>
      </w:pPr>
    </w:p>
    <w:p w14:paraId="2BD5A9A4" w14:textId="77777777" w:rsidR="00D1623D" w:rsidRPr="009F4D0B" w:rsidRDefault="00D1623D" w:rsidP="00D1623D">
      <w:pPr>
        <w:pStyle w:val="ListParagraph"/>
        <w:ind w:left="0"/>
        <w:rPr>
          <w:rFonts w:ascii="Times New Roman" w:eastAsia="Times New Roman" w:hAnsi="Times New Roman" w:cs="Times New Roman"/>
          <w:vertAlign w:val="superscript"/>
        </w:rPr>
      </w:pPr>
      <w:r>
        <w:rPr>
          <w:rFonts w:ascii="Times New Roman" w:hAnsi="Times New Roman" w:cs="Times New Roman"/>
          <w:color w:val="000000" w:themeColor="text1"/>
        </w:rPr>
        <w:t>Chloe Bryson-</w:t>
      </w:r>
      <w:r w:rsidRPr="009F4D0B">
        <w:rPr>
          <w:rFonts w:ascii="Times New Roman" w:hAnsi="Times New Roman" w:cs="Times New Roman"/>
          <w:color w:val="000000" w:themeColor="text1"/>
        </w:rPr>
        <w:t>Cahn, MD</w:t>
      </w:r>
    </w:p>
    <w:p w14:paraId="446B049E" w14:textId="77777777" w:rsidR="00D1623D" w:rsidRDefault="00D1623D" w:rsidP="00D1623D">
      <w:pPr>
        <w:rPr>
          <w:rFonts w:ascii="Times New Roman" w:hAnsi="Times New Roman" w:cs="Times New Roman"/>
          <w:color w:val="000000" w:themeColor="text1"/>
        </w:rPr>
      </w:pPr>
    </w:p>
    <w:p w14:paraId="411D3613" w14:textId="4801C112" w:rsidR="00D1623D" w:rsidRDefault="00D1623D" w:rsidP="00337D1A">
      <w:pPr>
        <w:spacing w:after="0" w:line="240" w:lineRule="auto"/>
        <w:rPr>
          <w:rFonts w:ascii="Times New Roman" w:hAnsi="Times New Roman" w:cs="Times New Roman"/>
          <w:color w:val="000000" w:themeColor="text1"/>
        </w:rPr>
      </w:pPr>
      <w:r w:rsidRPr="00506C39">
        <w:rPr>
          <w:rFonts w:ascii="Times New Roman" w:hAnsi="Times New Roman" w:cs="Times New Roman"/>
          <w:color w:val="000000" w:themeColor="text1"/>
        </w:rPr>
        <w:t xml:space="preserve">On behalf of the UW TASP ECHO Specialist Team:  </w:t>
      </w:r>
    </w:p>
    <w:p w14:paraId="6547BB42" w14:textId="77777777" w:rsidR="00337D1A" w:rsidRPr="00506C39" w:rsidRDefault="00337D1A" w:rsidP="00337D1A">
      <w:pPr>
        <w:spacing w:after="0" w:line="240" w:lineRule="auto"/>
        <w:rPr>
          <w:rFonts w:ascii="Times New Roman" w:hAnsi="Times New Roman" w:cs="Times New Roman"/>
          <w:color w:val="000000" w:themeColor="text1"/>
        </w:rPr>
      </w:pPr>
    </w:p>
    <w:p w14:paraId="18B055C4" w14:textId="77777777" w:rsidR="00D1623D" w:rsidRPr="00C06318" w:rsidRDefault="00D1623D" w:rsidP="00337D1A">
      <w:pPr>
        <w:spacing w:after="0" w:line="240" w:lineRule="auto"/>
        <w:rPr>
          <w:rFonts w:ascii="Times New Roman" w:hAnsi="Times New Roman" w:cs="Times New Roman"/>
          <w:bCs/>
          <w:i/>
          <w:color w:val="000000" w:themeColor="text1"/>
        </w:rPr>
      </w:pPr>
      <w:r w:rsidRPr="00C06318">
        <w:rPr>
          <w:rFonts w:ascii="Times New Roman" w:hAnsi="Times New Roman" w:cs="Times New Roman"/>
          <w:bCs/>
          <w:i/>
          <w:color w:val="000000" w:themeColor="text1"/>
        </w:rPr>
        <w:t>John Lynch, MD MPH</w:t>
      </w:r>
    </w:p>
    <w:p w14:paraId="3FD6F208" w14:textId="77777777" w:rsidR="00D1623D" w:rsidRPr="00C06318" w:rsidRDefault="00D1623D" w:rsidP="00337D1A">
      <w:pPr>
        <w:spacing w:after="0" w:line="240" w:lineRule="auto"/>
        <w:rPr>
          <w:rFonts w:ascii="Times New Roman" w:hAnsi="Times New Roman" w:cs="Times New Roman"/>
          <w:bCs/>
          <w:i/>
          <w:color w:val="000000" w:themeColor="text1"/>
        </w:rPr>
      </w:pPr>
      <w:r w:rsidRPr="00C06318">
        <w:rPr>
          <w:rFonts w:ascii="Times New Roman" w:hAnsi="Times New Roman" w:cs="Times New Roman"/>
          <w:bCs/>
          <w:i/>
          <w:color w:val="000000" w:themeColor="text1"/>
        </w:rPr>
        <w:t>Ch</w:t>
      </w:r>
      <w:r>
        <w:rPr>
          <w:rFonts w:ascii="Times New Roman" w:hAnsi="Times New Roman" w:cs="Times New Roman"/>
          <w:bCs/>
          <w:i/>
          <w:color w:val="000000" w:themeColor="text1"/>
        </w:rPr>
        <w:t>loe Bryson-Cahn, MD</w:t>
      </w:r>
    </w:p>
    <w:p w14:paraId="340FEEBB" w14:textId="77777777" w:rsidR="00D1623D" w:rsidRPr="00C06318" w:rsidRDefault="00D1623D" w:rsidP="00337D1A">
      <w:pPr>
        <w:spacing w:after="0" w:line="240" w:lineRule="auto"/>
        <w:rPr>
          <w:rFonts w:ascii="Times New Roman" w:hAnsi="Times New Roman" w:cs="Times New Roman"/>
          <w:bCs/>
          <w:i/>
          <w:color w:val="000000" w:themeColor="text1"/>
        </w:rPr>
      </w:pPr>
      <w:r>
        <w:rPr>
          <w:rFonts w:ascii="Times New Roman" w:hAnsi="Times New Roman" w:cs="Times New Roman"/>
          <w:bCs/>
          <w:i/>
          <w:color w:val="000000" w:themeColor="text1"/>
        </w:rPr>
        <w:t>Jeannie Chan, PharmD</w:t>
      </w:r>
    </w:p>
    <w:p w14:paraId="62463CE5" w14:textId="77777777" w:rsidR="00D1623D" w:rsidRPr="00C06318" w:rsidRDefault="00D1623D" w:rsidP="00337D1A">
      <w:pPr>
        <w:spacing w:after="0" w:line="240" w:lineRule="auto"/>
        <w:rPr>
          <w:rFonts w:ascii="Times New Roman" w:hAnsi="Times New Roman" w:cs="Times New Roman"/>
          <w:bCs/>
          <w:i/>
          <w:color w:val="000000" w:themeColor="text1"/>
        </w:rPr>
      </w:pPr>
      <w:r>
        <w:rPr>
          <w:rFonts w:ascii="Times New Roman" w:hAnsi="Times New Roman" w:cs="Times New Roman"/>
          <w:bCs/>
          <w:i/>
          <w:color w:val="000000" w:themeColor="text1"/>
        </w:rPr>
        <w:t>Zahra Kassamali Escobar, PharmD</w:t>
      </w:r>
    </w:p>
    <w:p w14:paraId="3B9B098A" w14:textId="77777777" w:rsidR="00D1623D" w:rsidRPr="00C06318" w:rsidRDefault="00D1623D" w:rsidP="00337D1A">
      <w:pPr>
        <w:spacing w:after="0" w:line="240" w:lineRule="auto"/>
        <w:rPr>
          <w:rFonts w:ascii="Times New Roman" w:hAnsi="Times New Roman" w:cs="Times New Roman"/>
          <w:bCs/>
          <w:i/>
          <w:color w:val="000000" w:themeColor="text1"/>
        </w:rPr>
      </w:pPr>
      <w:r>
        <w:rPr>
          <w:rFonts w:ascii="Times New Roman" w:hAnsi="Times New Roman" w:cs="Times New Roman"/>
          <w:bCs/>
          <w:i/>
          <w:color w:val="000000" w:themeColor="text1"/>
        </w:rPr>
        <w:t>Hannah Imlay, MD</w:t>
      </w:r>
    </w:p>
    <w:p w14:paraId="45C9BFA2" w14:textId="77777777" w:rsidR="00D1623D" w:rsidRPr="00C06318" w:rsidRDefault="00D1623D" w:rsidP="00337D1A">
      <w:pPr>
        <w:spacing w:after="0" w:line="240" w:lineRule="auto"/>
        <w:rPr>
          <w:rFonts w:ascii="Times New Roman" w:hAnsi="Times New Roman" w:cs="Times New Roman"/>
          <w:bCs/>
          <w:i/>
          <w:color w:val="000000" w:themeColor="text1"/>
        </w:rPr>
      </w:pPr>
      <w:r>
        <w:rPr>
          <w:rFonts w:ascii="Times New Roman" w:hAnsi="Times New Roman" w:cs="Times New Roman"/>
          <w:bCs/>
          <w:i/>
          <w:color w:val="000000" w:themeColor="text1"/>
        </w:rPr>
        <w:t>Rupali Jain, PharmD</w:t>
      </w:r>
    </w:p>
    <w:p w14:paraId="2D6C005F" w14:textId="7C3D21F3" w:rsidR="00D1623D" w:rsidRDefault="00D1623D" w:rsidP="00337D1A">
      <w:pPr>
        <w:spacing w:after="0" w:line="240" w:lineRule="auto"/>
        <w:rPr>
          <w:rFonts w:ascii="Times New Roman" w:hAnsi="Times New Roman" w:cs="Times New Roman"/>
          <w:bCs/>
          <w:i/>
          <w:color w:val="000000" w:themeColor="text1"/>
        </w:rPr>
      </w:pPr>
      <w:r w:rsidRPr="00C06318">
        <w:rPr>
          <w:rFonts w:ascii="Times New Roman" w:hAnsi="Times New Roman" w:cs="Times New Roman"/>
          <w:bCs/>
          <w:i/>
          <w:color w:val="000000" w:themeColor="text1"/>
        </w:rPr>
        <w:t>Paul Pottinger, MD</w:t>
      </w:r>
      <w:r w:rsidR="009C5F19">
        <w:rPr>
          <w:rFonts w:ascii="Times New Roman" w:hAnsi="Times New Roman" w:cs="Times New Roman"/>
          <w:bCs/>
          <w:i/>
          <w:color w:val="000000" w:themeColor="text1"/>
        </w:rPr>
        <w:t xml:space="preserve"> FIDSA</w:t>
      </w:r>
    </w:p>
    <w:p w14:paraId="3041BEF6" w14:textId="77777777" w:rsidR="00337D1A" w:rsidRPr="00506C39" w:rsidRDefault="00337D1A" w:rsidP="00337D1A">
      <w:pPr>
        <w:spacing w:after="0" w:line="240" w:lineRule="auto"/>
        <w:rPr>
          <w:rFonts w:ascii="Times New Roman" w:hAnsi="Times New Roman" w:cs="Times New Roman"/>
          <w:bCs/>
          <w:i/>
          <w:color w:val="000000" w:themeColor="text1"/>
        </w:rPr>
      </w:pPr>
    </w:p>
    <w:p w14:paraId="62DBF868" w14:textId="19EA2C80" w:rsidR="00D1623D" w:rsidRPr="005F33A6" w:rsidRDefault="00D1623D" w:rsidP="00D1623D">
      <w:pPr>
        <w:pBdr>
          <w:top w:val="single" w:sz="4" w:space="1" w:color="auto"/>
          <w:left w:val="single" w:sz="4" w:space="4" w:color="auto"/>
          <w:bottom w:val="single" w:sz="4" w:space="1" w:color="auto"/>
          <w:right w:val="single" w:sz="4" w:space="4" w:color="auto"/>
        </w:pBdr>
        <w:rPr>
          <w:sz w:val="24"/>
          <w:szCs w:val="24"/>
        </w:rPr>
      </w:pPr>
      <w:r w:rsidRPr="00506C39">
        <w:rPr>
          <w:rFonts w:ascii="Times New Roman" w:hAnsi="Times New Roman" w:cs="Times New Roman"/>
          <w:color w:val="000000"/>
          <w:sz w:val="20"/>
          <w:szCs w:val="20"/>
        </w:rPr>
        <w:t xml:space="preserve">PLEASE NOTE that Project ECHO case consultations do </w:t>
      </w:r>
      <w:r w:rsidRPr="00506C39">
        <w:rPr>
          <w:rFonts w:ascii="Times New Roman" w:hAnsi="Times New Roman" w:cs="Times New Roman"/>
          <w:color w:val="000000"/>
          <w:sz w:val="20"/>
          <w:szCs w:val="20"/>
          <w:u w:val="single"/>
        </w:rPr>
        <w:t>not</w:t>
      </w:r>
      <w:r w:rsidRPr="00506C39">
        <w:rPr>
          <w:rFonts w:ascii="Times New Roman" w:hAnsi="Times New Roman" w:cs="Times New Roman"/>
          <w:color w:val="000000"/>
          <w:sz w:val="20"/>
          <w:szCs w:val="20"/>
        </w:rPr>
        <w:t xml:space="preserve"> create or otherwise establish a provider-patient relationship between any UW Medicine Health Care Professional and any patient whose case is being presented in a Project ECHO setting.  A provider-patient relationship between a UW Medicine Health Care Professional and a patient whose case was presented at Project ECHO may later be established if the patient is referred and seen in the context of a regular appointment with the UW Med</w:t>
      </w:r>
      <w:r>
        <w:rPr>
          <w:rFonts w:ascii="Times New Roman" w:hAnsi="Times New Roman" w:cs="Times New Roman"/>
          <w:color w:val="000000"/>
          <w:sz w:val="20"/>
          <w:szCs w:val="20"/>
        </w:rPr>
        <w:t>icine Health Care Professional.</w:t>
      </w:r>
    </w:p>
    <w:sectPr w:rsidR="00D1623D" w:rsidRPr="005F33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B7F8E"/>
    <w:multiLevelType w:val="hybridMultilevel"/>
    <w:tmpl w:val="821CF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65BB7"/>
    <w:multiLevelType w:val="hybridMultilevel"/>
    <w:tmpl w:val="DE9CC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E6C1D"/>
    <w:multiLevelType w:val="hybridMultilevel"/>
    <w:tmpl w:val="BC64C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72588"/>
    <w:multiLevelType w:val="hybridMultilevel"/>
    <w:tmpl w:val="0D8AE2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9A6AD6"/>
    <w:multiLevelType w:val="hybridMultilevel"/>
    <w:tmpl w:val="51FA660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65A97"/>
    <w:multiLevelType w:val="hybridMultilevel"/>
    <w:tmpl w:val="556C9F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FF436C"/>
    <w:multiLevelType w:val="hybridMultilevel"/>
    <w:tmpl w:val="9C529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4A05A0"/>
    <w:multiLevelType w:val="hybridMultilevel"/>
    <w:tmpl w:val="E216E508"/>
    <w:lvl w:ilvl="0" w:tplc="207EF6D6">
      <w:start w:val="1"/>
      <w:numFmt w:val="bullet"/>
      <w:lvlText w:val="•"/>
      <w:lvlJc w:val="left"/>
      <w:pPr>
        <w:tabs>
          <w:tab w:val="num" w:pos="720"/>
        </w:tabs>
        <w:ind w:left="720" w:hanging="360"/>
      </w:pPr>
      <w:rPr>
        <w:rFonts w:ascii="Times New Roman" w:hAnsi="Times New Roman" w:hint="default"/>
      </w:rPr>
    </w:lvl>
    <w:lvl w:ilvl="1" w:tplc="38A0D610" w:tentative="1">
      <w:start w:val="1"/>
      <w:numFmt w:val="bullet"/>
      <w:lvlText w:val="•"/>
      <w:lvlJc w:val="left"/>
      <w:pPr>
        <w:tabs>
          <w:tab w:val="num" w:pos="1440"/>
        </w:tabs>
        <w:ind w:left="1440" w:hanging="360"/>
      </w:pPr>
      <w:rPr>
        <w:rFonts w:ascii="Times New Roman" w:hAnsi="Times New Roman" w:hint="default"/>
      </w:rPr>
    </w:lvl>
    <w:lvl w:ilvl="2" w:tplc="A5AADF90" w:tentative="1">
      <w:start w:val="1"/>
      <w:numFmt w:val="bullet"/>
      <w:lvlText w:val="•"/>
      <w:lvlJc w:val="left"/>
      <w:pPr>
        <w:tabs>
          <w:tab w:val="num" w:pos="2160"/>
        </w:tabs>
        <w:ind w:left="2160" w:hanging="360"/>
      </w:pPr>
      <w:rPr>
        <w:rFonts w:ascii="Times New Roman" w:hAnsi="Times New Roman" w:hint="default"/>
      </w:rPr>
    </w:lvl>
    <w:lvl w:ilvl="3" w:tplc="466AB0FC" w:tentative="1">
      <w:start w:val="1"/>
      <w:numFmt w:val="bullet"/>
      <w:lvlText w:val="•"/>
      <w:lvlJc w:val="left"/>
      <w:pPr>
        <w:tabs>
          <w:tab w:val="num" w:pos="2880"/>
        </w:tabs>
        <w:ind w:left="2880" w:hanging="360"/>
      </w:pPr>
      <w:rPr>
        <w:rFonts w:ascii="Times New Roman" w:hAnsi="Times New Roman" w:hint="default"/>
      </w:rPr>
    </w:lvl>
    <w:lvl w:ilvl="4" w:tplc="62108AB8" w:tentative="1">
      <w:start w:val="1"/>
      <w:numFmt w:val="bullet"/>
      <w:lvlText w:val="•"/>
      <w:lvlJc w:val="left"/>
      <w:pPr>
        <w:tabs>
          <w:tab w:val="num" w:pos="3600"/>
        </w:tabs>
        <w:ind w:left="3600" w:hanging="360"/>
      </w:pPr>
      <w:rPr>
        <w:rFonts w:ascii="Times New Roman" w:hAnsi="Times New Roman" w:hint="default"/>
      </w:rPr>
    </w:lvl>
    <w:lvl w:ilvl="5" w:tplc="163C685A" w:tentative="1">
      <w:start w:val="1"/>
      <w:numFmt w:val="bullet"/>
      <w:lvlText w:val="•"/>
      <w:lvlJc w:val="left"/>
      <w:pPr>
        <w:tabs>
          <w:tab w:val="num" w:pos="4320"/>
        </w:tabs>
        <w:ind w:left="4320" w:hanging="360"/>
      </w:pPr>
      <w:rPr>
        <w:rFonts w:ascii="Times New Roman" w:hAnsi="Times New Roman" w:hint="default"/>
      </w:rPr>
    </w:lvl>
    <w:lvl w:ilvl="6" w:tplc="C942781A" w:tentative="1">
      <w:start w:val="1"/>
      <w:numFmt w:val="bullet"/>
      <w:lvlText w:val="•"/>
      <w:lvlJc w:val="left"/>
      <w:pPr>
        <w:tabs>
          <w:tab w:val="num" w:pos="5040"/>
        </w:tabs>
        <w:ind w:left="5040" w:hanging="360"/>
      </w:pPr>
      <w:rPr>
        <w:rFonts w:ascii="Times New Roman" w:hAnsi="Times New Roman" w:hint="default"/>
      </w:rPr>
    </w:lvl>
    <w:lvl w:ilvl="7" w:tplc="DED4FB10" w:tentative="1">
      <w:start w:val="1"/>
      <w:numFmt w:val="bullet"/>
      <w:lvlText w:val="•"/>
      <w:lvlJc w:val="left"/>
      <w:pPr>
        <w:tabs>
          <w:tab w:val="num" w:pos="5760"/>
        </w:tabs>
        <w:ind w:left="5760" w:hanging="360"/>
      </w:pPr>
      <w:rPr>
        <w:rFonts w:ascii="Times New Roman" w:hAnsi="Times New Roman" w:hint="default"/>
      </w:rPr>
    </w:lvl>
    <w:lvl w:ilvl="8" w:tplc="3A2E648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7E33E82"/>
    <w:multiLevelType w:val="hybridMultilevel"/>
    <w:tmpl w:val="F0DA8F6A"/>
    <w:lvl w:ilvl="0" w:tplc="FAD2DB6A">
      <w:numFmt w:val="bullet"/>
      <w:lvlText w:val="-"/>
      <w:lvlJc w:val="left"/>
      <w:pPr>
        <w:ind w:left="720" w:hanging="360"/>
      </w:pPr>
      <w:rPr>
        <w:rFonts w:ascii="Corbel" w:eastAsiaTheme="minorHAnsi"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828B5"/>
    <w:multiLevelType w:val="hybridMultilevel"/>
    <w:tmpl w:val="DCB833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787F83"/>
    <w:multiLevelType w:val="hybridMultilevel"/>
    <w:tmpl w:val="498846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6E7953"/>
    <w:multiLevelType w:val="hybridMultilevel"/>
    <w:tmpl w:val="80E8E1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B0B6D47"/>
    <w:multiLevelType w:val="hybridMultilevel"/>
    <w:tmpl w:val="3CAC0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920375"/>
    <w:multiLevelType w:val="hybridMultilevel"/>
    <w:tmpl w:val="0A9E9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E10E20"/>
    <w:multiLevelType w:val="hybridMultilevel"/>
    <w:tmpl w:val="38DA921C"/>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2C773D"/>
    <w:multiLevelType w:val="hybridMultilevel"/>
    <w:tmpl w:val="549EC9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9D3855"/>
    <w:multiLevelType w:val="hybridMultilevel"/>
    <w:tmpl w:val="269C80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F0B3E3C"/>
    <w:multiLevelType w:val="hybridMultilevel"/>
    <w:tmpl w:val="DEB67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E9641A"/>
    <w:multiLevelType w:val="hybridMultilevel"/>
    <w:tmpl w:val="E5547E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15"/>
  </w:num>
  <w:num w:numId="4">
    <w:abstractNumId w:val="11"/>
  </w:num>
  <w:num w:numId="5">
    <w:abstractNumId w:val="0"/>
  </w:num>
  <w:num w:numId="6">
    <w:abstractNumId w:val="2"/>
  </w:num>
  <w:num w:numId="7">
    <w:abstractNumId w:val="14"/>
  </w:num>
  <w:num w:numId="8">
    <w:abstractNumId w:val="1"/>
  </w:num>
  <w:num w:numId="9">
    <w:abstractNumId w:val="7"/>
  </w:num>
  <w:num w:numId="10">
    <w:abstractNumId w:val="13"/>
  </w:num>
  <w:num w:numId="11">
    <w:abstractNumId w:val="12"/>
  </w:num>
  <w:num w:numId="12">
    <w:abstractNumId w:val="4"/>
  </w:num>
  <w:num w:numId="13">
    <w:abstractNumId w:val="9"/>
  </w:num>
  <w:num w:numId="14">
    <w:abstractNumId w:val="16"/>
  </w:num>
  <w:num w:numId="15">
    <w:abstractNumId w:val="3"/>
  </w:num>
  <w:num w:numId="16">
    <w:abstractNumId w:val="10"/>
  </w:num>
  <w:num w:numId="17">
    <w:abstractNumId w:val="6"/>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7A207DC-9467-46F0-B0C9-F1E6C50A0C75}"/>
    <w:docVar w:name="dgnword-eventsink" w:val="106416720"/>
  </w:docVars>
  <w:rsids>
    <w:rsidRoot w:val="0084391C"/>
    <w:rsid w:val="00010AC2"/>
    <w:rsid w:val="00064C22"/>
    <w:rsid w:val="00092FF7"/>
    <w:rsid w:val="000D6083"/>
    <w:rsid w:val="001637AE"/>
    <w:rsid w:val="00174C45"/>
    <w:rsid w:val="001A065E"/>
    <w:rsid w:val="00271373"/>
    <w:rsid w:val="002D4F3B"/>
    <w:rsid w:val="002F40F7"/>
    <w:rsid w:val="00302DD1"/>
    <w:rsid w:val="00337D1A"/>
    <w:rsid w:val="00345429"/>
    <w:rsid w:val="00371BC6"/>
    <w:rsid w:val="003B46EE"/>
    <w:rsid w:val="003B4AAD"/>
    <w:rsid w:val="003D7D93"/>
    <w:rsid w:val="003F72E0"/>
    <w:rsid w:val="004542C8"/>
    <w:rsid w:val="004D4A9A"/>
    <w:rsid w:val="004E3599"/>
    <w:rsid w:val="004E3E3C"/>
    <w:rsid w:val="0054231C"/>
    <w:rsid w:val="00545B9C"/>
    <w:rsid w:val="0055164A"/>
    <w:rsid w:val="00567576"/>
    <w:rsid w:val="00575CEE"/>
    <w:rsid w:val="005C5071"/>
    <w:rsid w:val="005C61FF"/>
    <w:rsid w:val="005D4FDE"/>
    <w:rsid w:val="005F33A6"/>
    <w:rsid w:val="00641483"/>
    <w:rsid w:val="006421C8"/>
    <w:rsid w:val="006E2BE9"/>
    <w:rsid w:val="0072149D"/>
    <w:rsid w:val="00765DE2"/>
    <w:rsid w:val="00792EBC"/>
    <w:rsid w:val="007B3ED0"/>
    <w:rsid w:val="007D181A"/>
    <w:rsid w:val="0080209A"/>
    <w:rsid w:val="0084391C"/>
    <w:rsid w:val="00855830"/>
    <w:rsid w:val="008851F3"/>
    <w:rsid w:val="008B0E43"/>
    <w:rsid w:val="008C0906"/>
    <w:rsid w:val="00943280"/>
    <w:rsid w:val="0095053C"/>
    <w:rsid w:val="00957CFC"/>
    <w:rsid w:val="00977BC4"/>
    <w:rsid w:val="00983F99"/>
    <w:rsid w:val="009C3564"/>
    <w:rsid w:val="009C5866"/>
    <w:rsid w:val="009C5F19"/>
    <w:rsid w:val="009E6D33"/>
    <w:rsid w:val="00A4505B"/>
    <w:rsid w:val="00A53571"/>
    <w:rsid w:val="00A544D0"/>
    <w:rsid w:val="00A718D3"/>
    <w:rsid w:val="00AA76D8"/>
    <w:rsid w:val="00AC0BAD"/>
    <w:rsid w:val="00AD587A"/>
    <w:rsid w:val="00AF04DB"/>
    <w:rsid w:val="00B74D33"/>
    <w:rsid w:val="00B81A15"/>
    <w:rsid w:val="00BD1AAC"/>
    <w:rsid w:val="00BD5443"/>
    <w:rsid w:val="00C23B12"/>
    <w:rsid w:val="00C3402A"/>
    <w:rsid w:val="00C53B73"/>
    <w:rsid w:val="00CA6830"/>
    <w:rsid w:val="00CD122D"/>
    <w:rsid w:val="00D05950"/>
    <w:rsid w:val="00D1623D"/>
    <w:rsid w:val="00D16707"/>
    <w:rsid w:val="00D2053A"/>
    <w:rsid w:val="00D42177"/>
    <w:rsid w:val="00DF7004"/>
    <w:rsid w:val="00E3324F"/>
    <w:rsid w:val="00E76161"/>
    <w:rsid w:val="00EA3DA7"/>
    <w:rsid w:val="00F04E3A"/>
    <w:rsid w:val="00F31911"/>
    <w:rsid w:val="00F3462A"/>
    <w:rsid w:val="00F439DC"/>
    <w:rsid w:val="00F56E75"/>
    <w:rsid w:val="00F65E13"/>
    <w:rsid w:val="00F7028B"/>
    <w:rsid w:val="00F87BEA"/>
    <w:rsid w:val="2A94A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E22FC"/>
  <w15:docId w15:val="{1B3D7EA1-5C8D-664E-8B2C-613D5164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F70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3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91C"/>
    <w:rPr>
      <w:rFonts w:ascii="Tahoma" w:hAnsi="Tahoma" w:cs="Tahoma"/>
      <w:sz w:val="16"/>
      <w:szCs w:val="16"/>
    </w:rPr>
  </w:style>
  <w:style w:type="paragraph" w:styleId="ListParagraph">
    <w:name w:val="List Paragraph"/>
    <w:basedOn w:val="Normal"/>
    <w:uiPriority w:val="34"/>
    <w:qFormat/>
    <w:rsid w:val="00A544D0"/>
    <w:pPr>
      <w:ind w:left="720"/>
      <w:contextualSpacing/>
    </w:pPr>
  </w:style>
  <w:style w:type="table" w:styleId="TableGrid">
    <w:name w:val="Table Grid"/>
    <w:basedOn w:val="TableNormal"/>
    <w:uiPriority w:val="59"/>
    <w:rsid w:val="002D4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D4F3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0D6083"/>
    <w:rPr>
      <w:color w:val="0000FF"/>
      <w:u w:val="single"/>
    </w:rPr>
  </w:style>
  <w:style w:type="character" w:customStyle="1" w:styleId="pp-pub-journal1">
    <w:name w:val="pp-pub-journal1"/>
    <w:basedOn w:val="DefaultParagraphFont"/>
    <w:rsid w:val="0095053C"/>
    <w:rPr>
      <w:i/>
      <w:iCs/>
      <w:color w:val="008000"/>
    </w:rPr>
  </w:style>
  <w:style w:type="character" w:customStyle="1" w:styleId="pp-pub-year">
    <w:name w:val="pp-pub-year"/>
    <w:basedOn w:val="DefaultParagraphFont"/>
    <w:rsid w:val="0095053C"/>
  </w:style>
  <w:style w:type="character" w:customStyle="1" w:styleId="pp-pub-type1">
    <w:name w:val="pp-pub-type1"/>
    <w:basedOn w:val="DefaultParagraphFont"/>
    <w:rsid w:val="0095053C"/>
    <w:rPr>
      <w:color w:val="B3B3B3"/>
    </w:rPr>
  </w:style>
  <w:style w:type="character" w:customStyle="1" w:styleId="pp-pub-abstract-icon1">
    <w:name w:val="pp-pub-abstract-icon1"/>
    <w:basedOn w:val="DefaultParagraphFont"/>
    <w:rsid w:val="0095053C"/>
    <w:rPr>
      <w:color w:val="BFBFBF"/>
      <w:sz w:val="17"/>
      <w:szCs w:val="17"/>
    </w:rPr>
  </w:style>
  <w:style w:type="character" w:customStyle="1" w:styleId="Heading2Char">
    <w:name w:val="Heading 2 Char"/>
    <w:basedOn w:val="DefaultParagraphFont"/>
    <w:link w:val="Heading2"/>
    <w:uiPriority w:val="9"/>
    <w:rsid w:val="00DF7004"/>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75972">
      <w:bodyDiv w:val="1"/>
      <w:marLeft w:val="0"/>
      <w:marRight w:val="0"/>
      <w:marTop w:val="0"/>
      <w:marBottom w:val="0"/>
      <w:divBdr>
        <w:top w:val="none" w:sz="0" w:space="0" w:color="auto"/>
        <w:left w:val="none" w:sz="0" w:space="0" w:color="auto"/>
        <w:bottom w:val="none" w:sz="0" w:space="0" w:color="auto"/>
        <w:right w:val="none" w:sz="0" w:space="0" w:color="auto"/>
      </w:divBdr>
    </w:div>
    <w:div w:id="353118726">
      <w:bodyDiv w:val="1"/>
      <w:marLeft w:val="0"/>
      <w:marRight w:val="0"/>
      <w:marTop w:val="0"/>
      <w:marBottom w:val="0"/>
      <w:divBdr>
        <w:top w:val="none" w:sz="0" w:space="0" w:color="auto"/>
        <w:left w:val="none" w:sz="0" w:space="0" w:color="auto"/>
        <w:bottom w:val="none" w:sz="0" w:space="0" w:color="auto"/>
        <w:right w:val="none" w:sz="0" w:space="0" w:color="auto"/>
      </w:divBdr>
    </w:div>
    <w:div w:id="362363246">
      <w:bodyDiv w:val="1"/>
      <w:marLeft w:val="0"/>
      <w:marRight w:val="0"/>
      <w:marTop w:val="0"/>
      <w:marBottom w:val="0"/>
      <w:divBdr>
        <w:top w:val="none" w:sz="0" w:space="0" w:color="auto"/>
        <w:left w:val="none" w:sz="0" w:space="0" w:color="auto"/>
        <w:bottom w:val="none" w:sz="0" w:space="0" w:color="auto"/>
        <w:right w:val="none" w:sz="0" w:space="0" w:color="auto"/>
      </w:divBdr>
      <w:divsChild>
        <w:div w:id="84494368">
          <w:marLeft w:val="0"/>
          <w:marRight w:val="0"/>
          <w:marTop w:val="0"/>
          <w:marBottom w:val="0"/>
          <w:divBdr>
            <w:top w:val="none" w:sz="0" w:space="0" w:color="auto"/>
            <w:left w:val="none" w:sz="0" w:space="0" w:color="auto"/>
            <w:bottom w:val="none" w:sz="0" w:space="0" w:color="auto"/>
            <w:right w:val="none" w:sz="0" w:space="0" w:color="auto"/>
          </w:divBdr>
          <w:divsChild>
            <w:div w:id="1953127807">
              <w:marLeft w:val="0"/>
              <w:marRight w:val="0"/>
              <w:marTop w:val="0"/>
              <w:marBottom w:val="0"/>
              <w:divBdr>
                <w:top w:val="none" w:sz="0" w:space="0" w:color="auto"/>
                <w:left w:val="none" w:sz="0" w:space="0" w:color="auto"/>
                <w:bottom w:val="none" w:sz="0" w:space="0" w:color="auto"/>
                <w:right w:val="none" w:sz="0" w:space="0" w:color="auto"/>
              </w:divBdr>
              <w:divsChild>
                <w:div w:id="1150558750">
                  <w:marLeft w:val="0"/>
                  <w:marRight w:val="0"/>
                  <w:marTop w:val="0"/>
                  <w:marBottom w:val="0"/>
                  <w:divBdr>
                    <w:top w:val="none" w:sz="0" w:space="0" w:color="auto"/>
                    <w:left w:val="none" w:sz="0" w:space="0" w:color="auto"/>
                    <w:bottom w:val="none" w:sz="0" w:space="0" w:color="auto"/>
                    <w:right w:val="none" w:sz="0" w:space="0" w:color="auto"/>
                  </w:divBdr>
                  <w:divsChild>
                    <w:div w:id="560218191">
                      <w:marLeft w:val="0"/>
                      <w:marRight w:val="0"/>
                      <w:marTop w:val="0"/>
                      <w:marBottom w:val="0"/>
                      <w:divBdr>
                        <w:top w:val="none" w:sz="0" w:space="0" w:color="auto"/>
                        <w:left w:val="none" w:sz="0" w:space="0" w:color="auto"/>
                        <w:bottom w:val="none" w:sz="0" w:space="0" w:color="auto"/>
                        <w:right w:val="none" w:sz="0" w:space="0" w:color="auto"/>
                      </w:divBdr>
                      <w:divsChild>
                        <w:div w:id="918559213">
                          <w:marLeft w:val="0"/>
                          <w:marRight w:val="0"/>
                          <w:marTop w:val="0"/>
                          <w:marBottom w:val="0"/>
                          <w:divBdr>
                            <w:top w:val="none" w:sz="0" w:space="0" w:color="auto"/>
                            <w:left w:val="none" w:sz="0" w:space="0" w:color="auto"/>
                            <w:bottom w:val="none" w:sz="0" w:space="0" w:color="auto"/>
                            <w:right w:val="none" w:sz="0" w:space="0" w:color="auto"/>
                          </w:divBdr>
                          <w:divsChild>
                            <w:div w:id="1068578251">
                              <w:marLeft w:val="0"/>
                              <w:marRight w:val="0"/>
                              <w:marTop w:val="0"/>
                              <w:marBottom w:val="0"/>
                              <w:divBdr>
                                <w:top w:val="none" w:sz="0" w:space="0" w:color="auto"/>
                                <w:left w:val="none" w:sz="0" w:space="0" w:color="auto"/>
                                <w:bottom w:val="none" w:sz="0" w:space="0" w:color="auto"/>
                                <w:right w:val="none" w:sz="0" w:space="0" w:color="auto"/>
                              </w:divBdr>
                              <w:divsChild>
                                <w:div w:id="1597983527">
                                  <w:marLeft w:val="0"/>
                                  <w:marRight w:val="0"/>
                                  <w:marTop w:val="225"/>
                                  <w:marBottom w:val="225"/>
                                  <w:divBdr>
                                    <w:top w:val="none" w:sz="0" w:space="0" w:color="auto"/>
                                    <w:left w:val="none" w:sz="0" w:space="0" w:color="auto"/>
                                    <w:bottom w:val="none" w:sz="0" w:space="0" w:color="auto"/>
                                    <w:right w:val="none" w:sz="0" w:space="0" w:color="auto"/>
                                  </w:divBdr>
                                  <w:divsChild>
                                    <w:div w:id="1050423467">
                                      <w:marLeft w:val="0"/>
                                      <w:marRight w:val="0"/>
                                      <w:marTop w:val="0"/>
                                      <w:marBottom w:val="0"/>
                                      <w:divBdr>
                                        <w:top w:val="none" w:sz="0" w:space="0" w:color="auto"/>
                                        <w:left w:val="none" w:sz="0" w:space="0" w:color="auto"/>
                                        <w:bottom w:val="none" w:sz="0" w:space="0" w:color="auto"/>
                                        <w:right w:val="none" w:sz="0" w:space="0" w:color="auto"/>
                                      </w:divBdr>
                                    </w:div>
                                    <w:div w:id="565607415">
                                      <w:marLeft w:val="0"/>
                                      <w:marRight w:val="0"/>
                                      <w:marTop w:val="0"/>
                                      <w:marBottom w:val="0"/>
                                      <w:divBdr>
                                        <w:top w:val="none" w:sz="0" w:space="0" w:color="auto"/>
                                        <w:left w:val="none" w:sz="0" w:space="0" w:color="auto"/>
                                        <w:bottom w:val="none" w:sz="0" w:space="0" w:color="auto"/>
                                        <w:right w:val="none" w:sz="0" w:space="0" w:color="auto"/>
                                      </w:divBdr>
                                    </w:div>
                                    <w:div w:id="1310016763">
                                      <w:marLeft w:val="0"/>
                                      <w:marRight w:val="0"/>
                                      <w:marTop w:val="0"/>
                                      <w:marBottom w:val="0"/>
                                      <w:divBdr>
                                        <w:top w:val="none" w:sz="0" w:space="0" w:color="auto"/>
                                        <w:left w:val="none" w:sz="0" w:space="0" w:color="auto"/>
                                        <w:bottom w:val="none" w:sz="0" w:space="0" w:color="auto"/>
                                        <w:right w:val="none" w:sz="0" w:space="0" w:color="auto"/>
                                      </w:divBdr>
                                    </w:div>
                                    <w:div w:id="165736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6135847">
      <w:bodyDiv w:val="1"/>
      <w:marLeft w:val="0"/>
      <w:marRight w:val="0"/>
      <w:marTop w:val="0"/>
      <w:marBottom w:val="0"/>
      <w:divBdr>
        <w:top w:val="none" w:sz="0" w:space="0" w:color="auto"/>
        <w:left w:val="none" w:sz="0" w:space="0" w:color="auto"/>
        <w:bottom w:val="none" w:sz="0" w:space="0" w:color="auto"/>
        <w:right w:val="none" w:sz="0" w:space="0" w:color="auto"/>
      </w:divBdr>
    </w:div>
    <w:div w:id="1846477641">
      <w:bodyDiv w:val="1"/>
      <w:marLeft w:val="0"/>
      <w:marRight w:val="0"/>
      <w:marTop w:val="0"/>
      <w:marBottom w:val="0"/>
      <w:divBdr>
        <w:top w:val="none" w:sz="0" w:space="0" w:color="auto"/>
        <w:left w:val="none" w:sz="0" w:space="0" w:color="auto"/>
        <w:bottom w:val="none" w:sz="0" w:space="0" w:color="auto"/>
        <w:right w:val="none" w:sz="0" w:space="0" w:color="auto"/>
      </w:divBdr>
    </w:div>
    <w:div w:id="1925724554">
      <w:bodyDiv w:val="1"/>
      <w:marLeft w:val="0"/>
      <w:marRight w:val="0"/>
      <w:marTop w:val="0"/>
      <w:marBottom w:val="0"/>
      <w:divBdr>
        <w:top w:val="none" w:sz="0" w:space="0" w:color="auto"/>
        <w:left w:val="none" w:sz="0" w:space="0" w:color="auto"/>
        <w:bottom w:val="none" w:sz="0" w:space="0" w:color="auto"/>
        <w:right w:val="none" w:sz="0" w:space="0" w:color="auto"/>
      </w:divBdr>
      <w:divsChild>
        <w:div w:id="707418471">
          <w:marLeft w:val="0"/>
          <w:marRight w:val="0"/>
          <w:marTop w:val="96"/>
          <w:marBottom w:val="0"/>
          <w:divBdr>
            <w:top w:val="none" w:sz="0" w:space="0" w:color="auto"/>
            <w:left w:val="none" w:sz="0" w:space="0" w:color="auto"/>
            <w:bottom w:val="none" w:sz="0" w:space="0" w:color="auto"/>
            <w:right w:val="none" w:sz="0" w:space="0" w:color="auto"/>
          </w:divBdr>
        </w:div>
      </w:divsChild>
    </w:div>
    <w:div w:id="202273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8063322ECD2A4C836D2589E489F290" ma:contentTypeVersion="4" ma:contentTypeDescription="Create a new document." ma:contentTypeScope="" ma:versionID="87d255104f8536b5b85e366e31c232d6">
  <xsd:schema xmlns:xsd="http://www.w3.org/2001/XMLSchema" xmlns:xs="http://www.w3.org/2001/XMLSchema" xmlns:p="http://schemas.microsoft.com/office/2006/metadata/properties" xmlns:ns2="eacaa5ce-4b13-4929-997a-fd8c1bfe780a" xmlns:ns3="69aa3883-b251-412e-bf1d-acb3217d06af" targetNamespace="http://schemas.microsoft.com/office/2006/metadata/properties" ma:root="true" ma:fieldsID="4c8521088e9a5bdd28cc23b4085936d8" ns2:_="" ns3:_="">
    <xsd:import namespace="eacaa5ce-4b13-4929-997a-fd8c1bfe780a"/>
    <xsd:import namespace="69aa3883-b251-412e-bf1d-acb3217d06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aa5ce-4b13-4929-997a-fd8c1bfe78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aa3883-b251-412e-bf1d-acb3217d06a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6D227-FFD5-44BF-BF79-1EACF0D01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aa5ce-4b13-4929-997a-fd8c1bfe780a"/>
    <ds:schemaRef ds:uri="69aa3883-b251-412e-bf1d-acb3217d0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B2EA37-27D1-4A96-B583-D61C334597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E6AB2B-DA3E-4AB7-8FEF-6975191240A6}">
  <ds:schemaRefs>
    <ds:schemaRef ds:uri="http://schemas.microsoft.com/sharepoint/v3/contenttype/forms"/>
  </ds:schemaRefs>
</ds:datastoreItem>
</file>

<file path=customXml/itemProps4.xml><?xml version="1.0" encoding="utf-8"?>
<ds:datastoreItem xmlns:ds="http://schemas.openxmlformats.org/officeDocument/2006/customXml" ds:itemID="{A1BDCE55-859A-5749-819B-A6DA4F3F8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Lynch, John B</dc:creator>
  <cp:lastModifiedBy>Microsoft Office User</cp:lastModifiedBy>
  <cp:revision>3</cp:revision>
  <dcterms:created xsi:type="dcterms:W3CDTF">2018-08-16T03:43:00Z</dcterms:created>
  <dcterms:modified xsi:type="dcterms:W3CDTF">2018-08-16T03:43:00Z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0x010100508063322ECD2A4C836D2589E489F290</vt:lpwstr>
  </property>
  <property fmtid="{D5CDD505-2E9C-101B-9397-08002B2CF9AE}" pid="3" name="Mendeley Document_1">
    <vt:lpwstr>True</vt:lpwstr>
  </property>
  <property fmtid="{D5CDD505-2E9C-101B-9397-08002B2CF9AE}" pid="4" name="Mendeley Unique User Id_1">
    <vt:lpwstr>d8c9c4f4-9e43-38eb-8837-f5f670285650</vt:lpwstr>
  </property>
  <property fmtid="{D5CDD505-2E9C-101B-9397-08002B2CF9AE}" pid="5" name="Mendeley Citation Style_1">
    <vt:lpwstr>http://www.zotero.org/styles/american-medical-association</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http://www.zotero.org/styles/harvard1</vt:lpwstr>
  </property>
  <property fmtid="{D5CDD505-2E9C-101B-9397-08002B2CF9AE}" pid="17" name="Mendeley Recent Style Name 5_1">
    <vt:lpwstr>Harvard reference format 1 (deprecated)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