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2842" w14:textId="77777777" w:rsidR="009E6D33" w:rsidRDefault="0084391C" w:rsidP="00A544D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AutoShape 4" o:spid="_x0000_s1026" alt="UW TASP_LogoExploration_RGB_Col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3DCC" w14:textId="7B4A698D" w:rsidR="00A544D0" w:rsidRPr="00092FF7" w:rsidRDefault="00AA76D8" w:rsidP="00A544D0">
      <w:pPr>
        <w:rPr>
          <w:rFonts w:ascii="Corbel" w:hAnsi="Corbel"/>
          <w:b/>
          <w:sz w:val="32"/>
        </w:rPr>
      </w:pPr>
      <w:r>
        <w:rPr>
          <w:rFonts w:ascii="Corbel" w:hAnsi="Corbel"/>
          <w:b/>
          <w:sz w:val="32"/>
        </w:rPr>
        <w:t>Session Summary for 27</w:t>
      </w:r>
      <w:r w:rsidR="00D16707">
        <w:rPr>
          <w:rFonts w:ascii="Corbel" w:hAnsi="Corbel"/>
          <w:b/>
          <w:sz w:val="32"/>
        </w:rPr>
        <w:t xml:space="preserve"> February 2018</w:t>
      </w:r>
    </w:p>
    <w:p w14:paraId="22CAE07B" w14:textId="673E13DF" w:rsidR="00983F99" w:rsidRDefault="00A4505B" w:rsidP="004E3E3C">
      <w:pPr>
        <w:rPr>
          <w:rFonts w:ascii="Corbel" w:hAnsi="Corbel"/>
          <w:sz w:val="28"/>
          <w:szCs w:val="28"/>
        </w:rPr>
      </w:pPr>
      <w:r w:rsidRPr="004E3E3C">
        <w:rPr>
          <w:rFonts w:ascii="Corbel" w:hAnsi="Corbel"/>
          <w:sz w:val="28"/>
          <w:szCs w:val="28"/>
        </w:rPr>
        <w:t xml:space="preserve">Didactic: </w:t>
      </w:r>
      <w:r w:rsidR="00AA76D8">
        <w:rPr>
          <w:rFonts w:ascii="Corbel" w:hAnsi="Corbel"/>
          <w:sz w:val="28"/>
          <w:szCs w:val="28"/>
        </w:rPr>
        <w:t>TASP Toolkit Pneumonia, Theodore Wright</w:t>
      </w:r>
      <w:r w:rsidR="004E3E3C" w:rsidRPr="004E3E3C">
        <w:rPr>
          <w:rFonts w:ascii="Corbel" w:hAnsi="Corbel"/>
          <w:sz w:val="28"/>
          <w:szCs w:val="28"/>
        </w:rPr>
        <w:t xml:space="preserve">, MD. </w:t>
      </w:r>
    </w:p>
    <w:p w14:paraId="0982DEC2" w14:textId="7CA88101" w:rsidR="00271373" w:rsidRDefault="00271373" w:rsidP="00AA76D8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>41 site participants today!!</w:t>
      </w:r>
      <w:bookmarkStart w:id="0" w:name="_GoBack"/>
      <w:bookmarkEnd w:id="0"/>
    </w:p>
    <w:p w14:paraId="6066547F" w14:textId="0710EEB5" w:rsidR="00AA76D8" w:rsidRPr="00F65E13" w:rsidRDefault="00AA76D8" w:rsidP="00AA76D8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 w:rsidRPr="00F65E13">
        <w:rPr>
          <w:rFonts w:ascii="Corbel" w:hAnsi="Corbel" w:cs="Times New Roman"/>
          <w:sz w:val="28"/>
          <w:szCs w:val="28"/>
        </w:rPr>
        <w:t>Etiology:</w:t>
      </w:r>
    </w:p>
    <w:p w14:paraId="0A4B5538" w14:textId="5AEEC375" w:rsidR="00AA76D8" w:rsidRPr="00AA76D8" w:rsidRDefault="00F65E13" w:rsidP="00AA76D8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27% </w:t>
      </w:r>
      <w:r w:rsidR="00AA76D8" w:rsidRPr="00AA76D8">
        <w:rPr>
          <w:rFonts w:ascii="Corbel" w:hAnsi="Corbel" w:cs="Times New Roman"/>
          <w:sz w:val="28"/>
          <w:szCs w:val="28"/>
        </w:rPr>
        <w:t xml:space="preserve">of cases are viral and 14% of cases are bacterial. </w:t>
      </w:r>
    </w:p>
    <w:p w14:paraId="2FA2536C" w14:textId="6BBDDC53" w:rsidR="00AA76D8" w:rsidRDefault="00AA76D8" w:rsidP="00AA76D8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 w:rsidRPr="00AA76D8">
        <w:rPr>
          <w:rFonts w:ascii="Corbel" w:hAnsi="Corbel" w:cs="Times New Roman"/>
          <w:sz w:val="28"/>
          <w:szCs w:val="28"/>
        </w:rPr>
        <w:t xml:space="preserve">62% of cases are not identified and may be from non-infectious etiology in a significant proportion. </w:t>
      </w:r>
    </w:p>
    <w:p w14:paraId="6DBA5D54" w14:textId="5D894C0F" w:rsidR="00AA76D8" w:rsidRDefault="00AA76D8" w:rsidP="00AA76D8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>Variants:</w:t>
      </w:r>
    </w:p>
    <w:p w14:paraId="219B4A97" w14:textId="31DBEAE8" w:rsidR="00AA76D8" w:rsidRDefault="00AA76D8" w:rsidP="00AA76D8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HCAP removed from HAP/VAP guidelines. </w:t>
      </w:r>
    </w:p>
    <w:p w14:paraId="312FC368" w14:textId="77777777" w:rsidR="00AA76D8" w:rsidRDefault="00AA76D8" w:rsidP="00AA76D8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>HAP = Develops &gt;48 hours after admission and no signs or symptoms of pneumonia on admission.</w:t>
      </w:r>
    </w:p>
    <w:p w14:paraId="081739B8" w14:textId="77777777" w:rsidR="00AA76D8" w:rsidRDefault="00AA76D8" w:rsidP="00AA76D8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VAP = Pneumonia that develops &gt;48 hours after intubation and no signs or symptoms of pneumonia prior to intubation. </w:t>
      </w:r>
    </w:p>
    <w:p w14:paraId="783318AF" w14:textId="77777777" w:rsidR="00AA76D8" w:rsidRDefault="00AA76D8" w:rsidP="00AA76D8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CAP = Think strep </w:t>
      </w:r>
      <w:proofErr w:type="spellStart"/>
      <w:r>
        <w:rPr>
          <w:rFonts w:ascii="Corbel" w:hAnsi="Corbel" w:cs="Times New Roman"/>
          <w:sz w:val="28"/>
          <w:szCs w:val="28"/>
        </w:rPr>
        <w:t>pneumo</w:t>
      </w:r>
      <w:proofErr w:type="spellEnd"/>
      <w:r>
        <w:rPr>
          <w:rFonts w:ascii="Corbel" w:hAnsi="Corbel" w:cs="Times New Roman"/>
          <w:sz w:val="28"/>
          <w:szCs w:val="28"/>
        </w:rPr>
        <w:t xml:space="preserve">, or less likely mycoplasma. </w:t>
      </w:r>
    </w:p>
    <w:p w14:paraId="1402CFED" w14:textId="1EE08824" w:rsidR="00AA76D8" w:rsidRDefault="00AA76D8" w:rsidP="00AA76D8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HAP/VAP = consider pseudomonas and other GNR as well as MRSA. </w:t>
      </w:r>
    </w:p>
    <w:p w14:paraId="7737C70B" w14:textId="1F9DA3B8" w:rsidR="00AA76D8" w:rsidRDefault="00AA76D8" w:rsidP="00AA76D8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 Use CURB-65 or PSI to decide admission. </w:t>
      </w:r>
    </w:p>
    <w:p w14:paraId="26D39F93" w14:textId="47316252" w:rsidR="00AA76D8" w:rsidRDefault="00AA76D8" w:rsidP="00AA76D8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Think about RF for GNR or resistant organisms. </w:t>
      </w:r>
    </w:p>
    <w:p w14:paraId="7D9E9119" w14:textId="28CF89D7" w:rsidR="00AA76D8" w:rsidRDefault="00AA76D8" w:rsidP="00AA76D8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>DRIP score is 81% accurate at predicting a drug resistant pathogen.</w:t>
      </w:r>
    </w:p>
    <w:p w14:paraId="3CE7D1A0" w14:textId="2461BCC5" w:rsidR="00AA76D8" w:rsidRDefault="00AA76D8" w:rsidP="00AA76D8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RF for PCN resistant strep </w:t>
      </w:r>
      <w:proofErr w:type="spellStart"/>
      <w:r>
        <w:rPr>
          <w:rFonts w:ascii="Corbel" w:hAnsi="Corbel" w:cs="Times New Roman"/>
          <w:sz w:val="28"/>
          <w:szCs w:val="28"/>
        </w:rPr>
        <w:t>pneumo</w:t>
      </w:r>
      <w:proofErr w:type="spellEnd"/>
      <w:r>
        <w:rPr>
          <w:rFonts w:ascii="Corbel" w:hAnsi="Corbel" w:cs="Times New Roman"/>
          <w:sz w:val="28"/>
          <w:szCs w:val="28"/>
        </w:rPr>
        <w:t xml:space="preserve"> </w:t>
      </w:r>
      <w:proofErr w:type="gramStart"/>
      <w:r>
        <w:rPr>
          <w:rFonts w:ascii="Corbel" w:hAnsi="Corbel" w:cs="Times New Roman"/>
          <w:sz w:val="28"/>
          <w:szCs w:val="28"/>
        </w:rPr>
        <w:t>include</w:t>
      </w:r>
      <w:proofErr w:type="gramEnd"/>
      <w:r>
        <w:rPr>
          <w:rFonts w:ascii="Corbel" w:hAnsi="Corbel" w:cs="Times New Roman"/>
          <w:sz w:val="28"/>
          <w:szCs w:val="28"/>
        </w:rPr>
        <w:t xml:space="preserve"> chronic disease of the lung, heart, liver, or kidneys. Diabetes mellitus, alcoholism, malignancy, or </w:t>
      </w:r>
      <w:proofErr w:type="gramStart"/>
      <w:r>
        <w:rPr>
          <w:rFonts w:ascii="Corbel" w:hAnsi="Corbel" w:cs="Times New Roman"/>
          <w:sz w:val="28"/>
          <w:szCs w:val="28"/>
        </w:rPr>
        <w:t>immunosuppression are</w:t>
      </w:r>
      <w:proofErr w:type="gramEnd"/>
      <w:r>
        <w:rPr>
          <w:rFonts w:ascii="Corbel" w:hAnsi="Corbel" w:cs="Times New Roman"/>
          <w:sz w:val="28"/>
          <w:szCs w:val="28"/>
        </w:rPr>
        <w:t xml:space="preserve"> also RF. As is recent </w:t>
      </w:r>
      <w:proofErr w:type="spellStart"/>
      <w:r>
        <w:rPr>
          <w:rFonts w:ascii="Corbel" w:hAnsi="Corbel" w:cs="Times New Roman"/>
          <w:sz w:val="28"/>
          <w:szCs w:val="28"/>
        </w:rPr>
        <w:t>abx</w:t>
      </w:r>
      <w:proofErr w:type="spellEnd"/>
      <w:r>
        <w:rPr>
          <w:rFonts w:ascii="Corbel" w:hAnsi="Corbel" w:cs="Times New Roman"/>
          <w:sz w:val="28"/>
          <w:szCs w:val="28"/>
        </w:rPr>
        <w:t xml:space="preserve"> use in the last 90 days. </w:t>
      </w:r>
    </w:p>
    <w:p w14:paraId="54939CA5" w14:textId="09E490A2" w:rsidR="00AA76D8" w:rsidRDefault="00F65E13" w:rsidP="00AA76D8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Outpatient </w:t>
      </w:r>
      <w:proofErr w:type="spellStart"/>
      <w:r>
        <w:rPr>
          <w:rFonts w:ascii="Corbel" w:hAnsi="Corbel" w:cs="Times New Roman"/>
          <w:sz w:val="28"/>
          <w:szCs w:val="28"/>
        </w:rPr>
        <w:t>Tx</w:t>
      </w:r>
      <w:proofErr w:type="spellEnd"/>
      <w:r>
        <w:rPr>
          <w:rFonts w:ascii="Corbel" w:hAnsi="Corbel" w:cs="Times New Roman"/>
          <w:sz w:val="28"/>
          <w:szCs w:val="28"/>
        </w:rPr>
        <w:t xml:space="preserve"> of CAP:</w:t>
      </w:r>
    </w:p>
    <w:p w14:paraId="5C2EC912" w14:textId="7DA92ABD" w:rsidR="00F65E13" w:rsidRDefault="00F65E13" w:rsidP="00F65E13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proofErr w:type="spellStart"/>
      <w:r>
        <w:rPr>
          <w:rFonts w:ascii="Corbel" w:hAnsi="Corbel" w:cs="Times New Roman"/>
          <w:sz w:val="28"/>
          <w:szCs w:val="28"/>
        </w:rPr>
        <w:t>Azithro</w:t>
      </w:r>
      <w:proofErr w:type="spellEnd"/>
      <w:r>
        <w:rPr>
          <w:rFonts w:ascii="Corbel" w:hAnsi="Corbel" w:cs="Times New Roman"/>
          <w:sz w:val="28"/>
          <w:szCs w:val="28"/>
        </w:rPr>
        <w:t xml:space="preserve"> 500 mg x 1 and then 250 mg daily for 4 days. Alternative is doxycycline. Consider using doxycycline if your community has high rates of macrolide resistant strep </w:t>
      </w:r>
      <w:proofErr w:type="spellStart"/>
      <w:r>
        <w:rPr>
          <w:rFonts w:ascii="Corbel" w:hAnsi="Corbel" w:cs="Times New Roman"/>
          <w:sz w:val="28"/>
          <w:szCs w:val="28"/>
        </w:rPr>
        <w:t>pneumo</w:t>
      </w:r>
      <w:proofErr w:type="spellEnd"/>
      <w:r>
        <w:rPr>
          <w:rFonts w:ascii="Corbel" w:hAnsi="Corbel" w:cs="Times New Roman"/>
          <w:sz w:val="28"/>
          <w:szCs w:val="28"/>
        </w:rPr>
        <w:t xml:space="preserve">. </w:t>
      </w:r>
    </w:p>
    <w:p w14:paraId="5CC49C33" w14:textId="054A9482" w:rsidR="00F65E13" w:rsidRDefault="00F65E13" w:rsidP="00F65E13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If RF for drug resistant strep </w:t>
      </w:r>
      <w:proofErr w:type="spellStart"/>
      <w:r>
        <w:rPr>
          <w:rFonts w:ascii="Corbel" w:hAnsi="Corbel" w:cs="Times New Roman"/>
          <w:sz w:val="28"/>
          <w:szCs w:val="28"/>
        </w:rPr>
        <w:t>pneumo</w:t>
      </w:r>
      <w:proofErr w:type="spellEnd"/>
      <w:r>
        <w:rPr>
          <w:rFonts w:ascii="Corbel" w:hAnsi="Corbel" w:cs="Times New Roman"/>
          <w:sz w:val="28"/>
          <w:szCs w:val="28"/>
        </w:rPr>
        <w:t xml:space="preserve"> then use </w:t>
      </w:r>
      <w:proofErr w:type="spellStart"/>
      <w:r>
        <w:rPr>
          <w:rFonts w:ascii="Corbel" w:hAnsi="Corbel" w:cs="Times New Roman"/>
          <w:sz w:val="28"/>
          <w:szCs w:val="28"/>
        </w:rPr>
        <w:t>Amox</w:t>
      </w:r>
      <w:proofErr w:type="spellEnd"/>
      <w:r>
        <w:rPr>
          <w:rFonts w:ascii="Corbel" w:hAnsi="Corbel" w:cs="Times New Roman"/>
          <w:sz w:val="28"/>
          <w:szCs w:val="28"/>
        </w:rPr>
        <w:t xml:space="preserve"> 1000 mg </w:t>
      </w:r>
      <w:proofErr w:type="spellStart"/>
      <w:r>
        <w:rPr>
          <w:rFonts w:ascii="Corbel" w:hAnsi="Corbel" w:cs="Times New Roman"/>
          <w:sz w:val="28"/>
          <w:szCs w:val="28"/>
        </w:rPr>
        <w:t>po</w:t>
      </w:r>
      <w:proofErr w:type="spellEnd"/>
      <w:r>
        <w:rPr>
          <w:rFonts w:ascii="Corbel" w:hAnsi="Corbel" w:cs="Times New Roman"/>
          <w:sz w:val="28"/>
          <w:szCs w:val="28"/>
        </w:rPr>
        <w:t xml:space="preserve"> TID or levofloxacin. This should be in addition to azithromycin. </w:t>
      </w:r>
    </w:p>
    <w:p w14:paraId="21A65654" w14:textId="6030ED0B" w:rsidR="00F65E13" w:rsidRDefault="00F65E13" w:rsidP="00F65E13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lastRenderedPageBreak/>
        <w:t xml:space="preserve">Inpatient </w:t>
      </w:r>
      <w:proofErr w:type="spellStart"/>
      <w:r>
        <w:rPr>
          <w:rFonts w:ascii="Corbel" w:hAnsi="Corbel" w:cs="Times New Roman"/>
          <w:sz w:val="28"/>
          <w:szCs w:val="28"/>
        </w:rPr>
        <w:t>tx</w:t>
      </w:r>
      <w:proofErr w:type="spellEnd"/>
      <w:r>
        <w:rPr>
          <w:rFonts w:ascii="Corbel" w:hAnsi="Corbel" w:cs="Times New Roman"/>
          <w:sz w:val="28"/>
          <w:szCs w:val="28"/>
        </w:rPr>
        <w:t xml:space="preserve"> of CAP:</w:t>
      </w:r>
    </w:p>
    <w:p w14:paraId="5002A56C" w14:textId="182F925D" w:rsidR="00F65E13" w:rsidRDefault="00F65E13" w:rsidP="00F65E13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Ceftriaxone 1 gm IV daily plus azithromycin 500mg x 1 then 25 mg daily. </w:t>
      </w:r>
    </w:p>
    <w:p w14:paraId="740EC576" w14:textId="0219A83E" w:rsidR="00F65E13" w:rsidRDefault="00F65E13" w:rsidP="00F65E13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Duration is 5 days. </w:t>
      </w:r>
    </w:p>
    <w:p w14:paraId="75BA2B3D" w14:textId="251EBD59" w:rsidR="00F65E13" w:rsidRDefault="00F65E13" w:rsidP="00F65E13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Switch to orals for CAP on discharge if afebrile for 48-72 hours and only 1 clinical sign of instability. </w:t>
      </w:r>
    </w:p>
    <w:p w14:paraId="2D580759" w14:textId="2E65758C" w:rsidR="00F65E13" w:rsidRDefault="00F65E13" w:rsidP="00F65E13">
      <w:pPr>
        <w:pStyle w:val="ListParagraph"/>
        <w:numPr>
          <w:ilvl w:val="2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>Clinical signs of instability include T &gt; 37.8, HR &gt;100bpm, RR &gt;24, SBP &lt; 90 mmHg, SaO2 &lt;90</w:t>
      </w:r>
      <w:proofErr w:type="gramStart"/>
      <w:r>
        <w:rPr>
          <w:rFonts w:ascii="Corbel" w:hAnsi="Corbel" w:cs="Times New Roman"/>
          <w:sz w:val="28"/>
          <w:szCs w:val="28"/>
        </w:rPr>
        <w:t>% ,</w:t>
      </w:r>
      <w:proofErr w:type="gramEnd"/>
      <w:r>
        <w:rPr>
          <w:rFonts w:ascii="Corbel" w:hAnsi="Corbel" w:cs="Times New Roman"/>
          <w:sz w:val="28"/>
          <w:szCs w:val="28"/>
        </w:rPr>
        <w:t xml:space="preserve"> confusion, inability to maintain oral intake. </w:t>
      </w:r>
    </w:p>
    <w:p w14:paraId="055B55C7" w14:textId="56A3674E" w:rsidR="00F65E13" w:rsidRDefault="00F65E13" w:rsidP="00F65E13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If no RF for resistant strep </w:t>
      </w:r>
      <w:proofErr w:type="spellStart"/>
      <w:r>
        <w:rPr>
          <w:rFonts w:ascii="Corbel" w:hAnsi="Corbel" w:cs="Times New Roman"/>
          <w:sz w:val="28"/>
          <w:szCs w:val="28"/>
        </w:rPr>
        <w:t>pneumo</w:t>
      </w:r>
      <w:proofErr w:type="spellEnd"/>
      <w:r>
        <w:rPr>
          <w:rFonts w:ascii="Corbel" w:hAnsi="Corbel" w:cs="Times New Roman"/>
          <w:sz w:val="28"/>
          <w:szCs w:val="28"/>
        </w:rPr>
        <w:t xml:space="preserve"> then on discharge use </w:t>
      </w:r>
      <w:proofErr w:type="spellStart"/>
      <w:r>
        <w:rPr>
          <w:rFonts w:ascii="Corbel" w:hAnsi="Corbel" w:cs="Times New Roman"/>
          <w:sz w:val="28"/>
          <w:szCs w:val="28"/>
        </w:rPr>
        <w:t>amox</w:t>
      </w:r>
      <w:proofErr w:type="spellEnd"/>
      <w:r>
        <w:rPr>
          <w:rFonts w:ascii="Corbel" w:hAnsi="Corbel" w:cs="Times New Roman"/>
          <w:sz w:val="28"/>
          <w:szCs w:val="28"/>
        </w:rPr>
        <w:t xml:space="preserve"> 500 mg </w:t>
      </w:r>
      <w:proofErr w:type="spellStart"/>
      <w:r>
        <w:rPr>
          <w:rFonts w:ascii="Corbel" w:hAnsi="Corbel" w:cs="Times New Roman"/>
          <w:sz w:val="28"/>
          <w:szCs w:val="28"/>
        </w:rPr>
        <w:t>po</w:t>
      </w:r>
      <w:proofErr w:type="spellEnd"/>
      <w:r>
        <w:rPr>
          <w:rFonts w:ascii="Corbel" w:hAnsi="Corbel" w:cs="Times New Roman"/>
          <w:sz w:val="28"/>
          <w:szCs w:val="28"/>
        </w:rPr>
        <w:t xml:space="preserve"> TID or 875 mg </w:t>
      </w:r>
      <w:proofErr w:type="spellStart"/>
      <w:r>
        <w:rPr>
          <w:rFonts w:ascii="Corbel" w:hAnsi="Corbel" w:cs="Times New Roman"/>
          <w:sz w:val="28"/>
          <w:szCs w:val="28"/>
        </w:rPr>
        <w:t>po</w:t>
      </w:r>
      <w:proofErr w:type="spellEnd"/>
      <w:r>
        <w:rPr>
          <w:rFonts w:ascii="Corbel" w:hAnsi="Corbel" w:cs="Times New Roman"/>
          <w:sz w:val="28"/>
          <w:szCs w:val="28"/>
        </w:rPr>
        <w:t xml:space="preserve"> BID. Stop </w:t>
      </w:r>
      <w:proofErr w:type="spellStart"/>
      <w:r>
        <w:rPr>
          <w:rFonts w:ascii="Corbel" w:hAnsi="Corbel" w:cs="Times New Roman"/>
          <w:sz w:val="28"/>
          <w:szCs w:val="28"/>
        </w:rPr>
        <w:t>azithro</w:t>
      </w:r>
      <w:proofErr w:type="spellEnd"/>
      <w:r>
        <w:rPr>
          <w:rFonts w:ascii="Corbel" w:hAnsi="Corbel" w:cs="Times New Roman"/>
          <w:sz w:val="28"/>
          <w:szCs w:val="28"/>
        </w:rPr>
        <w:t xml:space="preserve"> after 1.5 gm total dose. If RF for strep </w:t>
      </w:r>
      <w:proofErr w:type="spellStart"/>
      <w:r>
        <w:rPr>
          <w:rFonts w:ascii="Corbel" w:hAnsi="Corbel" w:cs="Times New Roman"/>
          <w:sz w:val="28"/>
          <w:szCs w:val="28"/>
        </w:rPr>
        <w:t>pneumo</w:t>
      </w:r>
      <w:proofErr w:type="spellEnd"/>
      <w:r>
        <w:rPr>
          <w:rFonts w:ascii="Corbel" w:hAnsi="Corbel" w:cs="Times New Roman"/>
          <w:sz w:val="28"/>
          <w:szCs w:val="28"/>
        </w:rPr>
        <w:t xml:space="preserve"> PCN resistance then change to </w:t>
      </w:r>
      <w:proofErr w:type="spellStart"/>
      <w:r>
        <w:rPr>
          <w:rFonts w:ascii="Corbel" w:hAnsi="Corbel" w:cs="Times New Roman"/>
          <w:sz w:val="28"/>
          <w:szCs w:val="28"/>
        </w:rPr>
        <w:t>amox</w:t>
      </w:r>
      <w:proofErr w:type="spellEnd"/>
      <w:r>
        <w:rPr>
          <w:rFonts w:ascii="Corbel" w:hAnsi="Corbel" w:cs="Times New Roman"/>
          <w:sz w:val="28"/>
          <w:szCs w:val="28"/>
        </w:rPr>
        <w:t xml:space="preserve"> 1000 mg </w:t>
      </w:r>
      <w:proofErr w:type="spellStart"/>
      <w:r>
        <w:rPr>
          <w:rFonts w:ascii="Corbel" w:hAnsi="Corbel" w:cs="Times New Roman"/>
          <w:sz w:val="28"/>
          <w:szCs w:val="28"/>
        </w:rPr>
        <w:t>po</w:t>
      </w:r>
      <w:proofErr w:type="spellEnd"/>
      <w:r>
        <w:rPr>
          <w:rFonts w:ascii="Corbel" w:hAnsi="Corbel" w:cs="Times New Roman"/>
          <w:sz w:val="28"/>
          <w:szCs w:val="28"/>
        </w:rPr>
        <w:t xml:space="preserve"> TID. </w:t>
      </w:r>
    </w:p>
    <w:p w14:paraId="1BF66593" w14:textId="3FEDB356" w:rsidR="00F65E13" w:rsidRDefault="00F65E13" w:rsidP="00F65E13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proofErr w:type="spellStart"/>
      <w:r>
        <w:rPr>
          <w:rFonts w:ascii="Corbel" w:hAnsi="Corbel" w:cs="Times New Roman"/>
          <w:sz w:val="28"/>
          <w:szCs w:val="28"/>
        </w:rPr>
        <w:t>Tx</w:t>
      </w:r>
      <w:proofErr w:type="spellEnd"/>
      <w:r>
        <w:rPr>
          <w:rFonts w:ascii="Corbel" w:hAnsi="Corbel" w:cs="Times New Roman"/>
          <w:sz w:val="28"/>
          <w:szCs w:val="28"/>
        </w:rPr>
        <w:t xml:space="preserve"> of HAP/VAP:</w:t>
      </w:r>
    </w:p>
    <w:p w14:paraId="7A66418D" w14:textId="00B63183" w:rsidR="00F65E13" w:rsidRDefault="00F65E13" w:rsidP="00F65E13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No RF for MRSA </w:t>
      </w:r>
      <w:proofErr w:type="gramStart"/>
      <w:r>
        <w:rPr>
          <w:rFonts w:ascii="Corbel" w:hAnsi="Corbel" w:cs="Times New Roman"/>
          <w:sz w:val="28"/>
          <w:szCs w:val="28"/>
        </w:rPr>
        <w:t>use</w:t>
      </w:r>
      <w:proofErr w:type="gramEnd"/>
      <w:r>
        <w:rPr>
          <w:rFonts w:ascii="Corbel" w:hAnsi="Corbel" w:cs="Times New Roman"/>
          <w:sz w:val="28"/>
          <w:szCs w:val="28"/>
        </w:rPr>
        <w:t xml:space="preserve"> </w:t>
      </w:r>
      <w:proofErr w:type="spellStart"/>
      <w:r>
        <w:rPr>
          <w:rFonts w:ascii="Corbel" w:hAnsi="Corbel" w:cs="Times New Roman"/>
          <w:sz w:val="28"/>
          <w:szCs w:val="28"/>
        </w:rPr>
        <w:t>cefepime</w:t>
      </w:r>
      <w:proofErr w:type="spellEnd"/>
      <w:r>
        <w:rPr>
          <w:rFonts w:ascii="Corbel" w:hAnsi="Corbel" w:cs="Times New Roman"/>
          <w:sz w:val="28"/>
          <w:szCs w:val="28"/>
        </w:rPr>
        <w:t xml:space="preserve"> 2 gm IV Q8H. </w:t>
      </w:r>
    </w:p>
    <w:p w14:paraId="1D05C07D" w14:textId="6AE58098" w:rsidR="00F65E13" w:rsidRDefault="00F65E13" w:rsidP="00F65E13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If RF for MRSA, known colonization, or hospital prevalence &gt;20% then add vancomycin 25-30 mg/kg IV x 1 then </w:t>
      </w:r>
      <w:proofErr w:type="gramStart"/>
      <w:r>
        <w:rPr>
          <w:rFonts w:ascii="Corbel" w:hAnsi="Corbel" w:cs="Times New Roman"/>
          <w:sz w:val="28"/>
          <w:szCs w:val="28"/>
        </w:rPr>
        <w:t>15 ,g</w:t>
      </w:r>
      <w:proofErr w:type="gramEnd"/>
      <w:r>
        <w:rPr>
          <w:rFonts w:ascii="Corbel" w:hAnsi="Corbel" w:cs="Times New Roman"/>
          <w:sz w:val="28"/>
          <w:szCs w:val="28"/>
        </w:rPr>
        <w:t xml:space="preserve">/kg IV Q8H-Q12H with goal trough 10-20. </w:t>
      </w:r>
    </w:p>
    <w:p w14:paraId="2752CBE9" w14:textId="00EFBD30" w:rsidR="00F65E13" w:rsidRDefault="00F65E13" w:rsidP="00F65E13">
      <w:pPr>
        <w:pStyle w:val="ListParagraph"/>
        <w:numPr>
          <w:ilvl w:val="1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Consider double covering pseudomonas if your community has a high prevalence of </w:t>
      </w:r>
      <w:proofErr w:type="spellStart"/>
      <w:r>
        <w:rPr>
          <w:rFonts w:ascii="Corbel" w:hAnsi="Corbel" w:cs="Times New Roman"/>
          <w:sz w:val="28"/>
          <w:szCs w:val="28"/>
        </w:rPr>
        <w:t>cefepime</w:t>
      </w:r>
      <w:proofErr w:type="spellEnd"/>
      <w:r>
        <w:rPr>
          <w:rFonts w:ascii="Corbel" w:hAnsi="Corbel" w:cs="Times New Roman"/>
          <w:sz w:val="28"/>
          <w:szCs w:val="28"/>
        </w:rPr>
        <w:t xml:space="preserve"> resistant pseudomonas and the patient has a high risk for mortality or is failing to improve on a </w:t>
      </w:r>
      <w:proofErr w:type="spellStart"/>
      <w:r>
        <w:rPr>
          <w:rFonts w:ascii="Corbel" w:hAnsi="Corbel" w:cs="Times New Roman"/>
          <w:sz w:val="28"/>
          <w:szCs w:val="28"/>
        </w:rPr>
        <w:t>signle</w:t>
      </w:r>
      <w:proofErr w:type="spellEnd"/>
      <w:r>
        <w:rPr>
          <w:rFonts w:ascii="Corbel" w:hAnsi="Corbel" w:cs="Times New Roman"/>
          <w:sz w:val="28"/>
          <w:szCs w:val="28"/>
        </w:rPr>
        <w:t xml:space="preserve"> agent and culture data is still unavailable. </w:t>
      </w:r>
    </w:p>
    <w:p w14:paraId="1565E430" w14:textId="55399BEB" w:rsidR="00F65E13" w:rsidRDefault="00F65E13" w:rsidP="00F65E13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De-escalate </w:t>
      </w:r>
      <w:proofErr w:type="spellStart"/>
      <w:r>
        <w:rPr>
          <w:rFonts w:ascii="Corbel" w:hAnsi="Corbel" w:cs="Times New Roman"/>
          <w:sz w:val="28"/>
          <w:szCs w:val="28"/>
        </w:rPr>
        <w:t>abx</w:t>
      </w:r>
      <w:proofErr w:type="spellEnd"/>
      <w:r>
        <w:rPr>
          <w:rFonts w:ascii="Corbel" w:hAnsi="Corbel" w:cs="Times New Roman"/>
          <w:sz w:val="28"/>
          <w:szCs w:val="28"/>
        </w:rPr>
        <w:t xml:space="preserve"> if no staph aureus or GNR are found. </w:t>
      </w:r>
    </w:p>
    <w:p w14:paraId="1E1F617C" w14:textId="4F75FD6A" w:rsidR="00F65E13" w:rsidRDefault="00F65E13" w:rsidP="00F65E13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If MRSA nares culture or sputum negative then stop MRSA coverage. </w:t>
      </w:r>
    </w:p>
    <w:p w14:paraId="34EBA717" w14:textId="7A15E20E" w:rsidR="00F65E13" w:rsidRDefault="00F65E13" w:rsidP="00F65E13">
      <w:pPr>
        <w:pStyle w:val="ListParagraph"/>
        <w:numPr>
          <w:ilvl w:val="0"/>
          <w:numId w:val="7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Duration of HAP/VAP treatment is 7 days. </w:t>
      </w:r>
    </w:p>
    <w:p w14:paraId="57A5186C" w14:textId="77777777" w:rsidR="0095053C" w:rsidRPr="0095053C" w:rsidRDefault="0095053C" w:rsidP="0095053C">
      <w:pPr>
        <w:pStyle w:val="ListParagraph"/>
        <w:rPr>
          <w:b/>
          <w:sz w:val="28"/>
          <w:szCs w:val="28"/>
        </w:rPr>
      </w:pPr>
    </w:p>
    <w:p w14:paraId="322C9BC5" w14:textId="77777777" w:rsidR="0080209A" w:rsidRPr="0095053C" w:rsidRDefault="0080209A" w:rsidP="0095053C">
      <w:pPr>
        <w:rPr>
          <w:rFonts w:ascii="Corbel" w:hAnsi="Corbel"/>
          <w:sz w:val="28"/>
          <w:szCs w:val="28"/>
        </w:rPr>
      </w:pPr>
    </w:p>
    <w:sectPr w:rsidR="0080209A" w:rsidRPr="0095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F8E"/>
    <w:multiLevelType w:val="hybridMultilevel"/>
    <w:tmpl w:val="821C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BB7"/>
    <w:multiLevelType w:val="hybridMultilevel"/>
    <w:tmpl w:val="DE9C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6C1D"/>
    <w:multiLevelType w:val="hybridMultilevel"/>
    <w:tmpl w:val="BC64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A05A0"/>
    <w:multiLevelType w:val="hybridMultilevel"/>
    <w:tmpl w:val="E216E508"/>
    <w:lvl w:ilvl="0" w:tplc="207E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0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A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0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C6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7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4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E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920375"/>
    <w:multiLevelType w:val="hybridMultilevel"/>
    <w:tmpl w:val="0A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10E20"/>
    <w:multiLevelType w:val="hybridMultilevel"/>
    <w:tmpl w:val="38DA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oebc@gmail.com">
    <w15:presenceInfo w15:providerId="Windows Live" w15:userId="fd83d25bd2335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92FF7"/>
    <w:rsid w:val="000D6083"/>
    <w:rsid w:val="001637AE"/>
    <w:rsid w:val="00271373"/>
    <w:rsid w:val="002D4F3B"/>
    <w:rsid w:val="004542C8"/>
    <w:rsid w:val="004D4A9A"/>
    <w:rsid w:val="004E3E3C"/>
    <w:rsid w:val="00545B9C"/>
    <w:rsid w:val="005D4FDE"/>
    <w:rsid w:val="00765DE2"/>
    <w:rsid w:val="00792EBC"/>
    <w:rsid w:val="007B3ED0"/>
    <w:rsid w:val="007D181A"/>
    <w:rsid w:val="0080209A"/>
    <w:rsid w:val="0084391C"/>
    <w:rsid w:val="00943280"/>
    <w:rsid w:val="0095053C"/>
    <w:rsid w:val="00977BC4"/>
    <w:rsid w:val="00983F99"/>
    <w:rsid w:val="009C3564"/>
    <w:rsid w:val="009E6D33"/>
    <w:rsid w:val="00A4505B"/>
    <w:rsid w:val="00A544D0"/>
    <w:rsid w:val="00AA76D8"/>
    <w:rsid w:val="00AC0BAD"/>
    <w:rsid w:val="00D05950"/>
    <w:rsid w:val="00D16707"/>
    <w:rsid w:val="00E3324F"/>
    <w:rsid w:val="00F04E3A"/>
    <w:rsid w:val="00F6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52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4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EA37-27D1-4A96-B583-D61C334597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John B</dc:creator>
  <cp:lastModifiedBy>Wright, Theodore C</cp:lastModifiedBy>
  <cp:revision>2</cp:revision>
  <dcterms:created xsi:type="dcterms:W3CDTF">2018-02-27T19:48:00Z</dcterms:created>
  <dcterms:modified xsi:type="dcterms:W3CDTF">2018-02-27T19:48:00Z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