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body>
    <w:p w:rsidR="009E6D33" w:rsidP="00A544D0" w:rsidRDefault="0084391C" w14:paraId="3F982842" w14:textId="77777777">
      <w:pPr>
        <w:jc w:val="center"/>
      </w:pPr>
      <w:r>
        <w:rPr>
          <w:noProof/>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5="http://schemas.microsoft.com/office/word/2012/wordml">
            <w:pict>
              <v:rect id="AutoShape 4" style="width:24pt;height:24pt;visibility:visible;mso-wrap-style:square;mso-left-percent:-10001;mso-top-percent:-10001;mso-position-horizontal:absolute;mso-position-horizontal-relative:char;mso-position-vertical:absolute;mso-position-vertical-relative:line;mso-left-percent:-10001;mso-top-percent:-10001;v-text-anchor:top" alt="UW TASP_LogoExploration_RGB_Color.jpg"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mS9t1gIAAOUFAAAOAAAAAAAAAAAAAAAAAC4CAABkcnMvZTJvRG9j&#10;LnhtbFBLAQItABQABgAIAAAAIQBMoOks2AAAAAMBAAAPAAAAAAAAAAAAAAAAADAFAABkcnMvZG93&#10;bnJldi54bWxQSwUGAAAAAAQABADzAAAANQYAAAAA&#10;">
                <o:lock v:ext="edit" aspectratio="t"/>
                <w10:anchorlock/>
              </v:rect>
            </w:pict>
          </mc:Fallback>
        </mc:AlternateContent>
      </w:r>
      <w:r>
        <w:rPr>
          <w:noProof/>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8425" cy="777151"/>
                    </a:xfrm>
                    <a:prstGeom prst="rect">
                      <a:avLst/>
                    </a:prstGeom>
                  </pic:spPr>
                </pic:pic>
              </a:graphicData>
            </a:graphic>
          </wp:inline>
        </w:drawing>
      </w:r>
    </w:p>
    <w:p w:rsidRPr="00092FF7" w:rsidR="00A544D0" w:rsidP="00A544D0" w:rsidRDefault="00D16707" w14:paraId="4B4D3DCC" w14:textId="7BBDC279">
      <w:pPr>
        <w:rPr>
          <w:rFonts w:ascii="Corbel" w:hAnsi="Corbel"/>
          <w:b/>
          <w:sz w:val="32"/>
        </w:rPr>
      </w:pPr>
      <w:r>
        <w:rPr>
          <w:rFonts w:ascii="Corbel" w:hAnsi="Corbel"/>
          <w:b/>
          <w:sz w:val="32"/>
        </w:rPr>
        <w:t>Session Summary for 13 February 2018</w:t>
      </w:r>
    </w:p>
    <w:p w:rsidR="0080209A" w:rsidP="0080209A" w:rsidRDefault="00A4505B" w14:paraId="6D48A26F" w14:textId="1CD20D8C">
      <w:pPr>
        <w:pStyle w:val="ListParagraph"/>
        <w:numPr>
          <w:ilvl w:val="0"/>
          <w:numId w:val="2"/>
        </w:numPr>
        <w:rPr>
          <w:rFonts w:ascii="Corbel" w:hAnsi="Corbel"/>
          <w:sz w:val="28"/>
          <w:szCs w:val="28"/>
        </w:rPr>
      </w:pPr>
      <w:r w:rsidRPr="00983F99">
        <w:rPr>
          <w:rFonts w:ascii="Corbel" w:hAnsi="Corbel"/>
          <w:sz w:val="28"/>
          <w:szCs w:val="28"/>
        </w:rPr>
        <w:t xml:space="preserve">Didactic: </w:t>
      </w:r>
      <w:r w:rsidR="00D16707">
        <w:rPr>
          <w:rFonts w:ascii="Corbel" w:hAnsi="Corbel"/>
          <w:sz w:val="28"/>
          <w:szCs w:val="28"/>
        </w:rPr>
        <w:t xml:space="preserve">Spine infections by Dr. John Lynch. </w:t>
      </w:r>
    </w:p>
    <w:p w:rsidR="00D16707" w:rsidP="00D16707" w:rsidRDefault="00D16707" w14:paraId="415E7DF7" w14:textId="39791861">
      <w:pPr>
        <w:pStyle w:val="ListParagraph"/>
        <w:numPr>
          <w:ilvl w:val="1"/>
          <w:numId w:val="2"/>
        </w:numPr>
        <w:rPr>
          <w:rFonts w:ascii="Corbel" w:hAnsi="Corbel"/>
          <w:sz w:val="28"/>
          <w:szCs w:val="28"/>
        </w:rPr>
      </w:pPr>
      <w:r>
        <w:rPr>
          <w:rFonts w:ascii="Corbel" w:hAnsi="Corbel"/>
          <w:sz w:val="28"/>
          <w:szCs w:val="28"/>
        </w:rPr>
        <w:t xml:space="preserve">Thoracic &gt; lumbar &gt; cervical. </w:t>
      </w:r>
    </w:p>
    <w:p w:rsidR="00D16707" w:rsidP="00D16707" w:rsidRDefault="00D16707" w14:paraId="611338DB" w14:textId="44597A00">
      <w:pPr>
        <w:pStyle w:val="ListParagraph"/>
        <w:numPr>
          <w:ilvl w:val="1"/>
          <w:numId w:val="2"/>
        </w:numPr>
        <w:rPr>
          <w:rFonts w:ascii="Corbel" w:hAnsi="Corbel"/>
          <w:sz w:val="28"/>
          <w:szCs w:val="28"/>
        </w:rPr>
      </w:pPr>
      <w:r>
        <w:rPr>
          <w:rFonts w:ascii="Corbel" w:hAnsi="Corbel"/>
          <w:sz w:val="28"/>
          <w:szCs w:val="28"/>
        </w:rPr>
        <w:t xml:space="preserve">Lumbar is typically </w:t>
      </w:r>
      <w:proofErr w:type="spellStart"/>
      <w:r>
        <w:rPr>
          <w:rFonts w:ascii="Corbel" w:hAnsi="Corbel"/>
          <w:sz w:val="28"/>
          <w:szCs w:val="28"/>
        </w:rPr>
        <w:t>hematogenous</w:t>
      </w:r>
      <w:proofErr w:type="spellEnd"/>
      <w:r>
        <w:rPr>
          <w:rFonts w:ascii="Corbel" w:hAnsi="Corbel"/>
          <w:sz w:val="28"/>
          <w:szCs w:val="28"/>
        </w:rPr>
        <w:t xml:space="preserve">. </w:t>
      </w:r>
    </w:p>
    <w:p w:rsidR="00D16707" w:rsidP="00D16707" w:rsidRDefault="00D16707" w14:paraId="37AA228C" w14:textId="2B1C693E">
      <w:pPr>
        <w:pStyle w:val="ListParagraph"/>
        <w:numPr>
          <w:ilvl w:val="1"/>
          <w:numId w:val="2"/>
        </w:numPr>
        <w:rPr>
          <w:rFonts w:ascii="Corbel" w:hAnsi="Corbel"/>
          <w:sz w:val="28"/>
          <w:szCs w:val="28"/>
        </w:rPr>
      </w:pPr>
      <w:r>
        <w:rPr>
          <w:rFonts w:ascii="Corbel" w:hAnsi="Corbel"/>
          <w:sz w:val="28"/>
          <w:szCs w:val="28"/>
        </w:rPr>
        <w:t xml:space="preserve">Posterior epidural abscess more common than anterior. </w:t>
      </w:r>
    </w:p>
    <w:p w:rsidR="00D16707" w:rsidP="05D3FB85" w:rsidRDefault="00D16707" w14:paraId="14FC38D1" w14:noSpellErr="1" w14:textId="4D0F66C8">
      <w:pPr>
        <w:pStyle w:val="ListParagraph"/>
        <w:numPr>
          <w:ilvl w:val="1"/>
          <w:numId w:val="2"/>
        </w:numPr>
        <w:rPr>
          <w:rFonts w:ascii="Corbel" w:hAnsi="Corbel"/>
          <w:sz w:val="28"/>
          <w:szCs w:val="28"/>
        </w:rPr>
      </w:pPr>
      <w:r w:rsidRPr="05D3FB85" w:rsidR="05D3FB85">
        <w:rPr>
          <w:rFonts w:ascii="Corbel" w:hAnsi="Corbel"/>
          <w:sz w:val="28"/>
          <w:szCs w:val="28"/>
        </w:rPr>
        <w:t>In spinal epidural abscess</w:t>
      </w:r>
      <w:r w:rsidRPr="05D3FB85" w:rsidR="05D3FB85">
        <w:rPr>
          <w:rFonts w:ascii="Corbel" w:hAnsi="Corbel"/>
          <w:sz w:val="28"/>
          <w:szCs w:val="28"/>
        </w:rPr>
        <w:t>:</w:t>
      </w:r>
    </w:p>
    <w:p w:rsidR="00D16707" w:rsidP="00D16707" w:rsidRDefault="00D16707" w14:paraId="7BFE35A7" w14:textId="5BB8CCF5">
      <w:pPr>
        <w:pStyle w:val="ListParagraph"/>
        <w:numPr>
          <w:ilvl w:val="2"/>
          <w:numId w:val="2"/>
        </w:numPr>
        <w:rPr>
          <w:rFonts w:ascii="Corbel" w:hAnsi="Corbel"/>
          <w:sz w:val="28"/>
          <w:szCs w:val="28"/>
        </w:rPr>
      </w:pPr>
      <w:r>
        <w:rPr>
          <w:rFonts w:ascii="Corbel" w:hAnsi="Corbel"/>
          <w:sz w:val="28"/>
          <w:szCs w:val="28"/>
        </w:rPr>
        <w:t xml:space="preserve">MSSA &gt; MRSA &gt; GNR &gt; </w:t>
      </w:r>
      <w:proofErr w:type="spellStart"/>
      <w:r>
        <w:rPr>
          <w:rFonts w:ascii="Corbel" w:hAnsi="Corbel"/>
          <w:sz w:val="28"/>
          <w:szCs w:val="28"/>
        </w:rPr>
        <w:t>CoNS</w:t>
      </w:r>
      <w:proofErr w:type="spellEnd"/>
      <w:r>
        <w:rPr>
          <w:rFonts w:ascii="Corbel" w:hAnsi="Corbel"/>
          <w:sz w:val="28"/>
          <w:szCs w:val="28"/>
        </w:rPr>
        <w:t xml:space="preserve"> &gt; Strep. </w:t>
      </w:r>
    </w:p>
    <w:p w:rsidR="00D16707" w:rsidP="05D3FB85" w:rsidRDefault="00D16707" w14:paraId="2FB206BA" w14:textId="09F1930C">
      <w:pPr>
        <w:pStyle w:val="ListParagraph"/>
        <w:numPr>
          <w:ilvl w:val="1"/>
          <w:numId w:val="2"/>
        </w:numPr>
        <w:rPr>
          <w:rFonts w:ascii="Corbel" w:hAnsi="Corbel"/>
          <w:sz w:val="28"/>
          <w:szCs w:val="28"/>
        </w:rPr>
      </w:pPr>
      <w:r w:rsidRPr="05D3FB85" w:rsidR="05D3FB85">
        <w:rPr>
          <w:rFonts w:ascii="Corbel" w:hAnsi="Corbel"/>
          <w:sz w:val="28"/>
          <w:szCs w:val="28"/>
        </w:rPr>
        <w:t>R</w:t>
      </w:r>
      <w:r w:rsidRPr="05D3FB85" w:rsidR="05D3FB85">
        <w:rPr>
          <w:rFonts w:ascii="Corbel" w:hAnsi="Corbel"/>
          <w:sz w:val="28"/>
          <w:szCs w:val="28"/>
        </w:rPr>
        <w:t>isk factors</w:t>
      </w:r>
      <w:r w:rsidRPr="05D3FB85" w:rsidR="05D3FB85">
        <w:rPr>
          <w:rFonts w:ascii="Corbel" w:hAnsi="Corbel"/>
          <w:sz w:val="28"/>
          <w:szCs w:val="28"/>
        </w:rPr>
        <w:t xml:space="preserve"> for osteomyelitis and </w:t>
      </w:r>
      <w:r w:rsidRPr="05D3FB85" w:rsidR="05D3FB85">
        <w:rPr>
          <w:rFonts w:ascii="Corbel" w:hAnsi="Corbel"/>
          <w:sz w:val="28"/>
          <w:szCs w:val="28"/>
        </w:rPr>
        <w:t>spinal epidural abscess</w:t>
      </w:r>
      <w:r w:rsidRPr="05D3FB85" w:rsidR="05D3FB85">
        <w:rPr>
          <w:rFonts w:ascii="Corbel" w:hAnsi="Corbel"/>
          <w:sz w:val="28"/>
          <w:szCs w:val="28"/>
        </w:rPr>
        <w:t xml:space="preserve"> </w:t>
      </w:r>
      <w:proofErr w:type="gramStart"/>
      <w:r w:rsidRPr="05D3FB85" w:rsidR="05D3FB85">
        <w:rPr>
          <w:rFonts w:ascii="Corbel" w:hAnsi="Corbel"/>
          <w:sz w:val="28"/>
          <w:szCs w:val="28"/>
        </w:rPr>
        <w:t>include</w:t>
      </w:r>
      <w:proofErr w:type="gramEnd"/>
      <w:r w:rsidRPr="05D3FB85" w:rsidR="05D3FB85">
        <w:rPr>
          <w:rFonts w:ascii="Corbel" w:hAnsi="Corbel"/>
          <w:sz w:val="28"/>
          <w:szCs w:val="28"/>
        </w:rPr>
        <w:t xml:space="preserve"> immunodeficiency from </w:t>
      </w:r>
      <w:proofErr w:type="spellStart"/>
      <w:r w:rsidRPr="05D3FB85" w:rsidR="05D3FB85">
        <w:rPr>
          <w:rFonts w:ascii="Corbel" w:hAnsi="Corbel"/>
          <w:sz w:val="28"/>
          <w:szCs w:val="28"/>
        </w:rPr>
        <w:t>EtOH</w:t>
      </w:r>
      <w:proofErr w:type="spellEnd"/>
      <w:r w:rsidRPr="05D3FB85" w:rsidR="05D3FB85">
        <w:rPr>
          <w:rFonts w:ascii="Corbel" w:hAnsi="Corbel"/>
          <w:sz w:val="28"/>
          <w:szCs w:val="28"/>
        </w:rPr>
        <w:t xml:space="preserve">, HIV, Malignancy, DM, </w:t>
      </w:r>
      <w:r w:rsidRPr="05D3FB85" w:rsidR="05D3FB85">
        <w:rPr>
          <w:rFonts w:ascii="Corbel" w:hAnsi="Corbel"/>
          <w:sz w:val="28"/>
          <w:szCs w:val="28"/>
        </w:rPr>
        <w:t>CKD</w:t>
      </w:r>
      <w:r w:rsidRPr="05D3FB85" w:rsidR="05D3FB85">
        <w:rPr>
          <w:rFonts w:ascii="Corbel" w:hAnsi="Corbel"/>
          <w:sz w:val="28"/>
          <w:szCs w:val="28"/>
        </w:rPr>
        <w:t xml:space="preserve">. </w:t>
      </w:r>
    </w:p>
    <w:p w:rsidR="00D16707" w:rsidP="00D16707" w:rsidRDefault="00D16707" w14:paraId="3D3B812B" w14:textId="32D81A99">
      <w:pPr>
        <w:pStyle w:val="ListParagraph"/>
        <w:numPr>
          <w:ilvl w:val="1"/>
          <w:numId w:val="2"/>
        </w:numPr>
        <w:rPr>
          <w:rFonts w:ascii="Corbel" w:hAnsi="Corbel"/>
          <w:sz w:val="28"/>
          <w:szCs w:val="28"/>
        </w:rPr>
      </w:pPr>
      <w:r>
        <w:rPr>
          <w:rFonts w:ascii="Corbel" w:hAnsi="Corbel"/>
          <w:sz w:val="28"/>
          <w:szCs w:val="28"/>
        </w:rPr>
        <w:t>In vertebral osteomyelitis:</w:t>
      </w:r>
    </w:p>
    <w:p w:rsidR="00D16707" w:rsidP="05D3FB85" w:rsidRDefault="00D16707" w14:paraId="0E497347" w14:noSpellErr="1" w14:textId="2E847D52">
      <w:pPr>
        <w:pStyle w:val="ListParagraph"/>
        <w:numPr>
          <w:ilvl w:val="2"/>
          <w:numId w:val="2"/>
        </w:numPr>
        <w:rPr>
          <w:rFonts w:ascii="Corbel" w:hAnsi="Corbel"/>
          <w:sz w:val="28"/>
          <w:szCs w:val="28"/>
        </w:rPr>
      </w:pPr>
      <w:r w:rsidRPr="05D3FB85" w:rsidR="05D3FB85">
        <w:rPr>
          <w:rFonts w:ascii="Corbel" w:hAnsi="Corbel"/>
          <w:sz w:val="28"/>
          <w:szCs w:val="28"/>
        </w:rPr>
        <w:t xml:space="preserve">Staph 39%, GNR 39%, and </w:t>
      </w:r>
      <w:r w:rsidRPr="05D3FB85" w:rsidR="05D3FB85">
        <w:rPr>
          <w:rFonts w:ascii="Corbel" w:hAnsi="Corbel"/>
          <w:sz w:val="28"/>
          <w:szCs w:val="28"/>
        </w:rPr>
        <w:t>S</w:t>
      </w:r>
      <w:r w:rsidRPr="05D3FB85" w:rsidR="05D3FB85">
        <w:rPr>
          <w:rFonts w:ascii="Corbel" w:hAnsi="Corbel"/>
          <w:sz w:val="28"/>
          <w:szCs w:val="28"/>
        </w:rPr>
        <w:t xml:space="preserve">trep 19%. </w:t>
      </w:r>
    </w:p>
    <w:p w:rsidR="00D16707" w:rsidP="05D3FB85" w:rsidRDefault="00D16707" w14:paraId="27813514" w14:textId="17546DC0">
      <w:pPr>
        <w:pStyle w:val="ListParagraph"/>
        <w:numPr>
          <w:ilvl w:val="2"/>
          <w:numId w:val="2"/>
        </w:numPr>
        <w:rPr>
          <w:rFonts w:ascii="Corbel" w:hAnsi="Corbel"/>
          <w:sz w:val="28"/>
          <w:szCs w:val="28"/>
        </w:rPr>
      </w:pPr>
      <w:r w:rsidRPr="05D3FB85" w:rsidR="05D3FB85">
        <w:rPr>
          <w:rFonts w:ascii="Corbel" w:hAnsi="Corbel"/>
          <w:sz w:val="28"/>
          <w:szCs w:val="28"/>
        </w:rPr>
        <w:t>Reasonable e</w:t>
      </w:r>
      <w:r w:rsidRPr="05D3FB85" w:rsidR="05D3FB85">
        <w:rPr>
          <w:rFonts w:ascii="Corbel" w:hAnsi="Corbel"/>
          <w:sz w:val="28"/>
          <w:szCs w:val="28"/>
        </w:rPr>
        <w:t xml:space="preserve">mpiric </w:t>
      </w:r>
      <w:proofErr w:type="spellStart"/>
      <w:r w:rsidRPr="05D3FB85" w:rsidR="05D3FB85">
        <w:rPr>
          <w:rFonts w:ascii="Corbel" w:hAnsi="Corbel"/>
          <w:sz w:val="28"/>
          <w:szCs w:val="28"/>
        </w:rPr>
        <w:t>tx</w:t>
      </w:r>
      <w:proofErr w:type="spellEnd"/>
      <w:r w:rsidRPr="05D3FB85" w:rsidR="05D3FB85">
        <w:rPr>
          <w:rFonts w:ascii="Corbel" w:hAnsi="Corbel"/>
          <w:sz w:val="28"/>
          <w:szCs w:val="28"/>
        </w:rPr>
        <w:t xml:space="preserve"> for both </w:t>
      </w:r>
      <w:r w:rsidRPr="05D3FB85" w:rsidR="05D3FB85">
        <w:rPr>
          <w:rFonts w:ascii="Corbel" w:hAnsi="Corbel"/>
          <w:sz w:val="28"/>
          <w:szCs w:val="28"/>
        </w:rPr>
        <w:t>spinal epidural abscess</w:t>
      </w:r>
      <w:r w:rsidRPr="05D3FB85" w:rsidR="05D3FB85">
        <w:rPr>
          <w:rFonts w:ascii="Corbel" w:hAnsi="Corbel"/>
          <w:sz w:val="28"/>
          <w:szCs w:val="28"/>
        </w:rPr>
        <w:t xml:space="preserve"> and vertebral </w:t>
      </w:r>
      <w:proofErr w:type="spellStart"/>
      <w:r w:rsidRPr="05D3FB85" w:rsidR="05D3FB85">
        <w:rPr>
          <w:rFonts w:ascii="Corbel" w:hAnsi="Corbel"/>
          <w:sz w:val="28"/>
          <w:szCs w:val="28"/>
        </w:rPr>
        <w:t>osteo</w:t>
      </w:r>
      <w:proofErr w:type="spellEnd"/>
      <w:r w:rsidRPr="05D3FB85" w:rsidR="05D3FB85">
        <w:rPr>
          <w:rFonts w:ascii="Corbel" w:hAnsi="Corbel"/>
          <w:sz w:val="28"/>
          <w:szCs w:val="28"/>
        </w:rPr>
        <w:t xml:space="preserve"> are vancomycin and ceftriaxone</w:t>
      </w:r>
      <w:r w:rsidRPr="05D3FB85" w:rsidR="05D3FB85">
        <w:rPr>
          <w:rFonts w:ascii="Corbel" w:hAnsi="Corbel"/>
          <w:sz w:val="28"/>
          <w:szCs w:val="28"/>
        </w:rPr>
        <w:t xml:space="preserve">. </w:t>
      </w:r>
    </w:p>
    <w:p w:rsidR="05D3FB85" w:rsidP="05D3FB85" w:rsidRDefault="05D3FB85" w14:noSpellErr="1" w14:paraId="40B896E2" w14:textId="104CD69E">
      <w:pPr>
        <w:pStyle w:val="ListParagraph"/>
        <w:numPr>
          <w:ilvl w:val="1"/>
          <w:numId w:val="2"/>
        </w:numPr>
        <w:rPr>
          <w:sz w:val="28"/>
          <w:szCs w:val="28"/>
        </w:rPr>
      </w:pPr>
      <w:r w:rsidRPr="05D3FB85" w:rsidR="05D3FB85">
        <w:rPr>
          <w:rFonts w:ascii="Corbel" w:hAnsi="Corbel"/>
          <w:sz w:val="28"/>
          <w:szCs w:val="28"/>
        </w:rPr>
        <w:t xml:space="preserve">MRI is the most sensitive imaging technique for </w:t>
      </w:r>
      <w:r w:rsidRPr="05D3FB85" w:rsidR="05D3FB85">
        <w:rPr>
          <w:rFonts w:ascii="Corbel" w:hAnsi="Corbel"/>
          <w:sz w:val="28"/>
          <w:szCs w:val="28"/>
        </w:rPr>
        <w:t>spinal epidural abscess/ vertebral osteomyelitis</w:t>
      </w:r>
    </w:p>
    <w:p w:rsidR="05D3FB85" w:rsidP="05D3FB85" w:rsidRDefault="05D3FB85" w14:noSpellErr="1" w14:paraId="4364CD09" w14:textId="7C6F95A6">
      <w:pPr>
        <w:pStyle w:val="ListParagraph"/>
        <w:numPr>
          <w:ilvl w:val="1"/>
          <w:numId w:val="2"/>
        </w:numPr>
        <w:rPr>
          <w:sz w:val="28"/>
          <w:szCs w:val="28"/>
        </w:rPr>
      </w:pPr>
      <w:r w:rsidRPr="05D3FB85" w:rsidR="05D3FB85">
        <w:rPr>
          <w:rFonts w:ascii="Corbel" w:hAnsi="Corbel"/>
          <w:sz w:val="28"/>
          <w:szCs w:val="28"/>
        </w:rPr>
        <w:t>Trea</w:t>
      </w:r>
      <w:r w:rsidRPr="05D3FB85" w:rsidR="05D3FB85">
        <w:rPr>
          <w:rFonts w:ascii="Corbel" w:hAnsi="Corbel"/>
          <w:sz w:val="28"/>
          <w:szCs w:val="28"/>
        </w:rPr>
        <w:t>tment</w:t>
      </w:r>
      <w:r w:rsidRPr="05D3FB85" w:rsidR="05D3FB85">
        <w:rPr>
          <w:rFonts w:ascii="Corbel" w:hAnsi="Corbel"/>
          <w:sz w:val="28"/>
          <w:szCs w:val="28"/>
        </w:rPr>
        <w:t xml:space="preserve"> for spinal epidural abscess includes urgent surgical evaluation </w:t>
      </w:r>
    </w:p>
    <w:p w:rsidR="05D3FB85" w:rsidP="05D3FB85" w:rsidRDefault="05D3FB85" w14:noSpellErr="1" w14:paraId="290D7C6D" w14:textId="07F15BD2">
      <w:pPr>
        <w:pStyle w:val="ListParagraph"/>
        <w:numPr>
          <w:ilvl w:val="1"/>
          <w:numId w:val="2"/>
        </w:numPr>
        <w:rPr>
          <w:sz w:val="28"/>
          <w:szCs w:val="28"/>
        </w:rPr>
      </w:pPr>
      <w:r w:rsidRPr="05D3FB85" w:rsidR="05D3FB85">
        <w:rPr>
          <w:rFonts w:ascii="Corbel" w:hAnsi="Corbel"/>
          <w:sz w:val="28"/>
          <w:szCs w:val="28"/>
        </w:rPr>
        <w:t>Obtain blood cultures prior to antibiotics</w:t>
      </w:r>
      <w:r w:rsidRPr="05D3FB85" w:rsidR="05D3FB85">
        <w:rPr>
          <w:rFonts w:ascii="Corbel" w:hAnsi="Corbel"/>
          <w:sz w:val="28"/>
          <w:szCs w:val="28"/>
        </w:rPr>
        <w:t xml:space="preserve"> (can be positive in up to 50% of vertebral osteomyelitis)</w:t>
      </w:r>
    </w:p>
    <w:p w:rsidR="05D3FB85" w:rsidP="05D3FB85" w:rsidRDefault="05D3FB85" w14:noSpellErr="1" w14:paraId="114F6871" w14:textId="11517AA4">
      <w:pPr>
        <w:pStyle w:val="ListParagraph"/>
        <w:numPr>
          <w:ilvl w:val="1"/>
          <w:numId w:val="2"/>
        </w:numPr>
        <w:rPr>
          <w:sz w:val="28"/>
          <w:szCs w:val="28"/>
        </w:rPr>
      </w:pPr>
      <w:r w:rsidRPr="05D3FB85" w:rsidR="05D3FB85">
        <w:rPr>
          <w:rFonts w:ascii="Corbel" w:hAnsi="Corbel"/>
          <w:sz w:val="28"/>
          <w:szCs w:val="28"/>
        </w:rPr>
        <w:t>Do not delay antibiotics for spinal epidural abscess or in an unstable patient with vertebral osteomyelitis</w:t>
      </w:r>
    </w:p>
    <w:p w:rsidR="00D16707" w:rsidP="05D3FB85" w:rsidRDefault="00D16707" w14:paraId="35498EF3" w14:textId="1CE4C76F">
      <w:pPr>
        <w:pStyle w:val="ListParagraph"/>
        <w:numPr>
          <w:ilvl w:val="1"/>
          <w:numId w:val="2"/>
        </w:numPr>
        <w:rPr>
          <w:rFonts w:ascii="Corbel" w:hAnsi="Corbel"/>
          <w:sz w:val="28"/>
          <w:szCs w:val="28"/>
        </w:rPr>
      </w:pPr>
      <w:r w:rsidRPr="05D3FB85" w:rsidR="05D3FB85">
        <w:rPr>
          <w:rFonts w:ascii="Corbel" w:hAnsi="Corbel"/>
          <w:sz w:val="28"/>
          <w:szCs w:val="28"/>
        </w:rPr>
        <w:t xml:space="preserve">For vertebral osteomyelitis and stable, ok to </w:t>
      </w:r>
      <w:r w:rsidRPr="05D3FB85" w:rsidR="05D3FB85">
        <w:rPr>
          <w:rFonts w:ascii="Corbel" w:hAnsi="Corbel"/>
          <w:sz w:val="28"/>
          <w:szCs w:val="28"/>
        </w:rPr>
        <w:t xml:space="preserve">defer </w:t>
      </w:r>
      <w:proofErr w:type="spellStart"/>
      <w:r w:rsidRPr="05D3FB85" w:rsidR="05D3FB85">
        <w:rPr>
          <w:rFonts w:ascii="Corbel" w:hAnsi="Corbel"/>
          <w:sz w:val="28"/>
          <w:szCs w:val="28"/>
        </w:rPr>
        <w:t>abx</w:t>
      </w:r>
      <w:proofErr w:type="spellEnd"/>
      <w:r w:rsidRPr="05D3FB85" w:rsidR="05D3FB85">
        <w:rPr>
          <w:rFonts w:ascii="Corbel" w:hAnsi="Corbel"/>
          <w:sz w:val="28"/>
          <w:szCs w:val="28"/>
        </w:rPr>
        <w:t xml:space="preserve"> until bone </w:t>
      </w:r>
      <w:r w:rsidRPr="05D3FB85" w:rsidR="05D3FB85">
        <w:rPr>
          <w:rFonts w:ascii="Corbel" w:hAnsi="Corbel"/>
          <w:sz w:val="28"/>
          <w:szCs w:val="28"/>
        </w:rPr>
        <w:t>b</w:t>
      </w:r>
      <w:r w:rsidRPr="05D3FB85" w:rsidR="05D3FB85">
        <w:rPr>
          <w:rFonts w:ascii="Corbel" w:hAnsi="Corbel"/>
          <w:sz w:val="28"/>
          <w:szCs w:val="28"/>
        </w:rPr>
        <w:t>iopsy</w:t>
      </w:r>
      <w:r w:rsidRPr="05D3FB85" w:rsidR="05D3FB85">
        <w:rPr>
          <w:rFonts w:ascii="Corbel" w:hAnsi="Corbel"/>
          <w:sz w:val="28"/>
          <w:szCs w:val="28"/>
        </w:rPr>
        <w:t xml:space="preserve"> is obtained. </w:t>
      </w:r>
    </w:p>
    <w:p w:rsidR="00D16707" w:rsidP="05D3FB85" w:rsidRDefault="00D16707" w14:paraId="24A611A6" w14:textId="0934737D">
      <w:pPr>
        <w:pStyle w:val="ListParagraph"/>
        <w:numPr>
          <w:ilvl w:val="1"/>
          <w:numId w:val="2"/>
        </w:numPr>
        <w:rPr>
          <w:rFonts w:ascii="Corbel" w:hAnsi="Corbel"/>
          <w:sz w:val="28"/>
          <w:szCs w:val="28"/>
        </w:rPr>
      </w:pPr>
      <w:r w:rsidRPr="05D3FB85" w:rsidR="05D3FB85">
        <w:rPr>
          <w:rFonts w:ascii="Corbel" w:hAnsi="Corbel"/>
          <w:sz w:val="28"/>
          <w:szCs w:val="28"/>
        </w:rPr>
        <w:t>E</w:t>
      </w:r>
      <w:r w:rsidRPr="05D3FB85" w:rsidR="05D3FB85">
        <w:rPr>
          <w:rFonts w:ascii="Corbel" w:hAnsi="Corbel"/>
          <w:sz w:val="28"/>
          <w:szCs w:val="28"/>
        </w:rPr>
        <w:t xml:space="preserve">xpeditiously obtain bone </w:t>
      </w:r>
      <w:proofErr w:type="spellStart"/>
      <w:r w:rsidRPr="05D3FB85" w:rsidR="05D3FB85">
        <w:rPr>
          <w:rFonts w:ascii="Corbel" w:hAnsi="Corbel"/>
          <w:sz w:val="28"/>
          <w:szCs w:val="28"/>
        </w:rPr>
        <w:t>bx</w:t>
      </w:r>
      <w:proofErr w:type="spellEnd"/>
      <w:r w:rsidRPr="05D3FB85" w:rsidR="05D3FB85">
        <w:rPr>
          <w:rFonts w:ascii="Corbel" w:hAnsi="Corbel"/>
          <w:sz w:val="28"/>
          <w:szCs w:val="28"/>
        </w:rPr>
        <w:t xml:space="preserve"> and attempt to narrow coverage. </w:t>
      </w:r>
    </w:p>
    <w:p w:rsidR="00D16707" w:rsidP="00D16707" w:rsidRDefault="00D16707" w14:paraId="6198D7E9" w14:textId="61AE9F1E">
      <w:pPr>
        <w:pStyle w:val="ListParagraph"/>
        <w:numPr>
          <w:ilvl w:val="1"/>
          <w:numId w:val="2"/>
        </w:numPr>
        <w:rPr>
          <w:rFonts w:ascii="Corbel" w:hAnsi="Corbel"/>
          <w:sz w:val="28"/>
          <w:szCs w:val="28"/>
        </w:rPr>
      </w:pPr>
      <w:r w:rsidRPr="05D3FB85" w:rsidR="05D3FB85">
        <w:rPr>
          <w:rFonts w:ascii="Corbel" w:hAnsi="Corbel"/>
          <w:sz w:val="28"/>
          <w:szCs w:val="28"/>
        </w:rPr>
        <w:t xml:space="preserve">30% of patients will have persistent pain at 1 year following therapy. </w:t>
      </w:r>
    </w:p>
    <w:p w:rsidR="00D16707" w:rsidP="05D3FB85" w:rsidRDefault="00D16707" w14:paraId="031B385D" w14:textId="76C6667C">
      <w:pPr>
        <w:pStyle w:val="ListParagraph"/>
        <w:numPr>
          <w:ilvl w:val="1"/>
          <w:numId w:val="2"/>
        </w:numPr>
        <w:rPr>
          <w:rFonts w:ascii="Corbel" w:hAnsi="Corbel"/>
          <w:sz w:val="28"/>
          <w:szCs w:val="28"/>
        </w:rPr>
      </w:pPr>
      <w:r w:rsidRPr="05D3FB85" w:rsidR="05D3FB85">
        <w:rPr>
          <w:rFonts w:ascii="Corbel" w:hAnsi="Corbel"/>
          <w:sz w:val="28"/>
          <w:szCs w:val="28"/>
        </w:rPr>
        <w:t xml:space="preserve">6 </w:t>
      </w:r>
      <w:r w:rsidRPr="05D3FB85" w:rsidR="05D3FB85">
        <w:rPr>
          <w:rFonts w:ascii="Corbel" w:hAnsi="Corbel"/>
          <w:sz w:val="28"/>
          <w:szCs w:val="28"/>
        </w:rPr>
        <w:t>week</w:t>
      </w:r>
      <w:r w:rsidRPr="05D3FB85" w:rsidR="05D3FB85">
        <w:rPr>
          <w:rFonts w:ascii="Corbel" w:hAnsi="Corbel"/>
          <w:sz w:val="28"/>
          <w:szCs w:val="28"/>
        </w:rPr>
        <w:t xml:space="preserve">s versus 12 </w:t>
      </w:r>
      <w:r w:rsidRPr="05D3FB85" w:rsidR="05D3FB85">
        <w:rPr>
          <w:rFonts w:ascii="Corbel" w:hAnsi="Corbel"/>
          <w:sz w:val="28"/>
          <w:szCs w:val="28"/>
        </w:rPr>
        <w:t>week</w:t>
      </w:r>
      <w:r w:rsidRPr="05D3FB85" w:rsidR="05D3FB85">
        <w:rPr>
          <w:rFonts w:ascii="Corbel" w:hAnsi="Corbel"/>
          <w:sz w:val="28"/>
          <w:szCs w:val="28"/>
        </w:rPr>
        <w:t>s of therapy showed no difference in outcomes</w:t>
      </w:r>
      <w:r w:rsidRPr="05D3FB85" w:rsidR="05D3FB85">
        <w:rPr>
          <w:rFonts w:ascii="Corbel" w:hAnsi="Corbel"/>
          <w:sz w:val="28"/>
          <w:szCs w:val="28"/>
        </w:rPr>
        <w:t xml:space="preserve"> for native bone spinal </w:t>
      </w:r>
      <w:proofErr w:type="spellStart"/>
      <w:r w:rsidRPr="05D3FB85" w:rsidR="05D3FB85">
        <w:rPr>
          <w:rFonts w:ascii="Corbel" w:hAnsi="Corbel"/>
          <w:sz w:val="28"/>
          <w:szCs w:val="28"/>
        </w:rPr>
        <w:t>osteo</w:t>
      </w:r>
      <w:proofErr w:type="spellEnd"/>
      <w:r w:rsidRPr="05D3FB85" w:rsidR="05D3FB85">
        <w:rPr>
          <w:rFonts w:ascii="Corbel" w:hAnsi="Corbel"/>
          <w:sz w:val="28"/>
          <w:szCs w:val="28"/>
        </w:rPr>
        <w:t xml:space="preserve">; </w:t>
      </w:r>
      <w:proofErr w:type="gramStart"/>
      <w:r w:rsidRPr="05D3FB85" w:rsidR="05D3FB85">
        <w:rPr>
          <w:rFonts w:ascii="Corbel" w:hAnsi="Corbel"/>
          <w:sz w:val="28"/>
          <w:szCs w:val="28"/>
        </w:rPr>
        <w:t>so</w:t>
      </w:r>
      <w:proofErr w:type="gramEnd"/>
      <w:r w:rsidRPr="05D3FB85" w:rsidR="05D3FB85">
        <w:rPr>
          <w:rFonts w:ascii="Corbel" w:hAnsi="Corbel"/>
          <w:sz w:val="28"/>
          <w:szCs w:val="28"/>
        </w:rPr>
        <w:t xml:space="preserve"> prefer 6 </w:t>
      </w:r>
      <w:r w:rsidRPr="05D3FB85" w:rsidR="05D3FB85">
        <w:rPr>
          <w:rFonts w:ascii="Corbel" w:hAnsi="Corbel"/>
          <w:sz w:val="28"/>
          <w:szCs w:val="28"/>
        </w:rPr>
        <w:t>weeks</w:t>
      </w:r>
      <w:r w:rsidRPr="05D3FB85" w:rsidR="05D3FB85">
        <w:rPr>
          <w:rFonts w:ascii="Corbel" w:hAnsi="Corbel"/>
          <w:sz w:val="28"/>
          <w:szCs w:val="28"/>
        </w:rPr>
        <w:t xml:space="preserve">. </w:t>
      </w:r>
    </w:p>
    <w:p w:rsidRPr="00D16707" w:rsidR="00D16707" w:rsidP="00D16707" w:rsidRDefault="00D16707" w14:paraId="710901B6" w14:textId="0193A246">
      <w:pPr>
        <w:pStyle w:val="ListParagraph"/>
        <w:numPr>
          <w:ilvl w:val="1"/>
          <w:numId w:val="2"/>
        </w:numPr>
        <w:rPr>
          <w:rFonts w:ascii="Corbel" w:hAnsi="Corbel"/>
          <w:sz w:val="28"/>
          <w:szCs w:val="28"/>
        </w:rPr>
      </w:pPr>
      <w:r w:rsidRPr="05D3FB85" w:rsidR="05D3FB85">
        <w:rPr>
          <w:rFonts w:ascii="Corbel" w:hAnsi="Corbel"/>
          <w:sz w:val="28"/>
          <w:szCs w:val="28"/>
        </w:rPr>
        <w:t xml:space="preserve">It is often possible to transition to oral antibiotics with high bioavailability early in the course of therapy. </w:t>
      </w:r>
    </w:p>
    <w:p w:rsidRPr="00D16707" w:rsidR="00D16707" w:rsidP="00D16707" w:rsidRDefault="0080209A" w14:paraId="6A578EC1" w14:textId="2720A2DD">
      <w:pPr>
        <w:pStyle w:val="ListParagraph"/>
        <w:numPr>
          <w:ilvl w:val="0"/>
          <w:numId w:val="2"/>
        </w:numPr>
        <w:rPr>
          <w:rFonts w:ascii="Corbel" w:hAnsi="Corbel" w:cs="Times New Roman"/>
          <w:sz w:val="28"/>
          <w:szCs w:val="28"/>
        </w:rPr>
      </w:pPr>
      <w:r w:rsidRPr="00983F99">
        <w:rPr>
          <w:rFonts w:ascii="Corbel" w:hAnsi="Corbel"/>
          <w:sz w:val="28"/>
          <w:szCs w:val="28"/>
        </w:rPr>
        <w:t>Case presentation on</w:t>
      </w:r>
      <w:r w:rsidRPr="00983F99" w:rsidR="00983F99">
        <w:rPr>
          <w:rFonts w:ascii="Corbel" w:hAnsi="Corbel"/>
          <w:sz w:val="28"/>
          <w:szCs w:val="28"/>
        </w:rPr>
        <w:t xml:space="preserve"> </w:t>
      </w:r>
      <w:r w:rsidR="00D16707">
        <w:rPr>
          <w:rFonts w:ascii="Corbel" w:hAnsi="Corbel"/>
          <w:sz w:val="28"/>
          <w:szCs w:val="28"/>
        </w:rPr>
        <w:t xml:space="preserve">UTI with </w:t>
      </w:r>
      <w:r w:rsidR="00765DE2">
        <w:rPr>
          <w:rFonts w:ascii="Corbel" w:hAnsi="Corbel"/>
          <w:i/>
          <w:sz w:val="28"/>
          <w:szCs w:val="28"/>
        </w:rPr>
        <w:t>P</w:t>
      </w:r>
      <w:r w:rsidRPr="00D16707" w:rsidR="00D16707">
        <w:rPr>
          <w:rFonts w:ascii="Corbel" w:hAnsi="Corbel"/>
          <w:i/>
          <w:sz w:val="28"/>
          <w:szCs w:val="28"/>
        </w:rPr>
        <w:t xml:space="preserve">roteus </w:t>
      </w:r>
      <w:r w:rsidR="00D16707">
        <w:rPr>
          <w:rFonts w:ascii="Corbel" w:hAnsi="Corbel"/>
          <w:sz w:val="28"/>
          <w:szCs w:val="28"/>
        </w:rPr>
        <w:t>and VRE</w:t>
      </w:r>
    </w:p>
    <w:p w:rsidRPr="0095053C" w:rsidR="00D16707" w:rsidP="00D16707" w:rsidRDefault="00D16707" w14:paraId="42FC5C9F" w14:textId="77777777">
      <w:pPr>
        <w:pStyle w:val="ListParagraph"/>
        <w:numPr>
          <w:ilvl w:val="1"/>
          <w:numId w:val="2"/>
        </w:numPr>
        <w:rPr>
          <w:rFonts w:ascii="Corbel" w:hAnsi="Corbel" w:cs="Times New Roman"/>
          <w:sz w:val="28"/>
          <w:szCs w:val="28"/>
        </w:rPr>
      </w:pPr>
      <w:r>
        <w:rPr>
          <w:rFonts w:ascii="Corbel" w:hAnsi="Corbel"/>
          <w:sz w:val="28"/>
          <w:szCs w:val="28"/>
        </w:rPr>
        <w:t xml:space="preserve">Enterococcus and other GPC are rarely a cause of UTI. With mixed cultures GNR is the more likely pathogen. </w:t>
      </w:r>
      <w:bookmarkStart w:name="_GoBack" w:id="0"/>
      <w:bookmarkEnd w:id="0"/>
    </w:p>
    <w:p w:rsidRPr="00D16707" w:rsidR="0095053C" w:rsidP="0095053C" w:rsidRDefault="0095053C" w14:paraId="5A407C50" w14:textId="76659A66">
      <w:pPr>
        <w:pStyle w:val="ListParagraph"/>
        <w:numPr>
          <w:ilvl w:val="2"/>
          <w:numId w:val="2"/>
        </w:numPr>
        <w:rPr>
          <w:rFonts w:ascii="Corbel" w:hAnsi="Corbel" w:cs="Times New Roman"/>
          <w:sz w:val="28"/>
          <w:szCs w:val="28"/>
        </w:rPr>
      </w:pPr>
      <w:r>
        <w:rPr>
          <w:rFonts w:ascii="Corbel" w:hAnsi="Corbel"/>
          <w:sz w:val="28"/>
          <w:szCs w:val="28"/>
        </w:rPr>
        <w:t xml:space="preserve">When clean catch specimens with a GPC and a GNR were compared to a catheter specimen it was shown that the GPC were typically only found in the clean catch specimen, not the </w:t>
      </w:r>
      <w:r>
        <w:rPr>
          <w:rFonts w:ascii="Corbel" w:hAnsi="Corbel"/>
          <w:sz w:val="28"/>
          <w:szCs w:val="28"/>
        </w:rPr>
        <w:lastRenderedPageBreak/>
        <w:t>catheter specimen. This suggests that in UTI with mixed GPC and GNR isolates the GNR is the pathogen</w:t>
      </w:r>
      <w:r w:rsidR="00765DE2">
        <w:rPr>
          <w:rFonts w:ascii="Corbel" w:hAnsi="Corbel"/>
          <w:sz w:val="28"/>
          <w:szCs w:val="28"/>
        </w:rPr>
        <w:t xml:space="preserve"> (3)</w:t>
      </w:r>
      <w:r>
        <w:rPr>
          <w:rFonts w:ascii="Corbel" w:hAnsi="Corbel"/>
          <w:sz w:val="28"/>
          <w:szCs w:val="28"/>
        </w:rPr>
        <w:t xml:space="preserve">. </w:t>
      </w:r>
    </w:p>
    <w:p w:rsidRPr="00D16707" w:rsidR="00D16707" w:rsidP="00D16707" w:rsidRDefault="00D16707" w14:paraId="740FC7CE" w14:textId="77777777">
      <w:pPr>
        <w:pStyle w:val="ListParagraph"/>
        <w:numPr>
          <w:ilvl w:val="1"/>
          <w:numId w:val="2"/>
        </w:numPr>
        <w:rPr>
          <w:rFonts w:ascii="Corbel" w:hAnsi="Corbel" w:cs="Times New Roman"/>
          <w:sz w:val="28"/>
          <w:szCs w:val="28"/>
        </w:rPr>
      </w:pPr>
      <w:r>
        <w:rPr>
          <w:rFonts w:ascii="Corbel" w:hAnsi="Corbel"/>
          <w:sz w:val="28"/>
          <w:szCs w:val="28"/>
        </w:rPr>
        <w:t xml:space="preserve">Amoxicillin susceptibility can be inferred in enterococcus from PCN susceptibility but not vice versa. </w:t>
      </w:r>
    </w:p>
    <w:p w:rsidRPr="00765DE2" w:rsidR="00983F99" w:rsidP="05D3FB85" w:rsidRDefault="00D16707" w14:paraId="22CAE07B" w14:noSpellErr="1" w14:textId="1DE97EE2">
      <w:pPr>
        <w:pStyle w:val="ListParagraph"/>
        <w:numPr>
          <w:ilvl w:val="1"/>
          <w:numId w:val="2"/>
        </w:numPr>
        <w:rPr>
          <w:rFonts w:ascii="Corbel" w:hAnsi="Corbel" w:cs="Times New Roman"/>
          <w:sz w:val="28"/>
          <w:szCs w:val="28"/>
        </w:rPr>
      </w:pPr>
      <w:r w:rsidRPr="05D3FB85" w:rsidR="05D3FB85">
        <w:rPr>
          <w:rFonts w:ascii="Corbel" w:hAnsi="Corbel"/>
          <w:sz w:val="28"/>
          <w:szCs w:val="28"/>
        </w:rPr>
        <w:t xml:space="preserve">Amoxicillin can be used for treatment of VRE </w:t>
      </w:r>
      <w:r w:rsidRPr="05D3FB85" w:rsidR="05D3FB85">
        <w:rPr>
          <w:rFonts w:ascii="Corbel" w:hAnsi="Corbel"/>
          <w:sz w:val="28"/>
          <w:szCs w:val="28"/>
        </w:rPr>
        <w:t>cystitis</w:t>
      </w:r>
      <w:r w:rsidRPr="05D3FB85" w:rsidR="05D3FB85">
        <w:rPr>
          <w:rFonts w:ascii="Corbel" w:hAnsi="Corbel"/>
          <w:sz w:val="28"/>
          <w:szCs w:val="28"/>
        </w:rPr>
        <w:t xml:space="preserve"> even if micro reports resistance; this </w:t>
      </w:r>
      <w:r w:rsidRPr="05D3FB85" w:rsidR="05D3FB85">
        <w:rPr>
          <w:rFonts w:ascii="Corbel" w:hAnsi="Corbel"/>
          <w:sz w:val="28"/>
          <w:szCs w:val="28"/>
        </w:rPr>
        <w:t>is</w:t>
      </w:r>
      <w:r w:rsidRPr="05D3FB85" w:rsidR="05D3FB85">
        <w:rPr>
          <w:rFonts w:ascii="Corbel" w:hAnsi="Corbel"/>
          <w:sz w:val="28"/>
          <w:szCs w:val="28"/>
        </w:rPr>
        <w:t xml:space="preserve"> due to concentration in GU tract and high levels of amoxicillin or </w:t>
      </w:r>
      <w:r w:rsidRPr="05D3FB85" w:rsidR="05D3FB85">
        <w:rPr>
          <w:rFonts w:ascii="Corbel" w:hAnsi="Corbel"/>
          <w:sz w:val="28"/>
          <w:szCs w:val="28"/>
        </w:rPr>
        <w:t xml:space="preserve">ampicillin that can be achieved (1)(2). </w:t>
      </w:r>
    </w:p>
    <w:p w:rsidRPr="00983F99" w:rsidR="00983F99" w:rsidP="00983F99" w:rsidRDefault="00983F99" w14:paraId="120EA7AD" w14:textId="77777777">
      <w:pPr>
        <w:pStyle w:val="ListParagraph"/>
        <w:spacing w:after="0" w:line="240" w:lineRule="auto"/>
        <w:ind w:left="1440"/>
        <w:rPr>
          <w:rFonts w:ascii="Corbel" w:hAnsi="Corbel" w:cs="Times New Roman"/>
          <w:sz w:val="28"/>
          <w:szCs w:val="28"/>
        </w:rPr>
      </w:pPr>
    </w:p>
    <w:p w:rsidR="005D4FDE" w:rsidP="002D4F3B" w:rsidRDefault="005D4FDE" w14:paraId="4B161948" w14:textId="77777777">
      <w:pPr>
        <w:rPr>
          <w:rFonts w:ascii="Corbel" w:hAnsi="Corbel"/>
          <w:b/>
          <w:sz w:val="28"/>
          <w:szCs w:val="28"/>
        </w:rPr>
      </w:pPr>
      <w:r w:rsidRPr="00983F99">
        <w:rPr>
          <w:rFonts w:ascii="Corbel" w:hAnsi="Corbel"/>
          <w:b/>
          <w:sz w:val="28"/>
          <w:szCs w:val="28"/>
        </w:rPr>
        <w:t>References:</w:t>
      </w:r>
    </w:p>
    <w:p w:rsidRPr="0095053C" w:rsidR="0095053C" w:rsidP="0095053C" w:rsidRDefault="0095053C" w14:paraId="590127BD" w14:textId="720B06E5">
      <w:pPr>
        <w:pStyle w:val="ListParagraph"/>
        <w:numPr>
          <w:ilvl w:val="0"/>
          <w:numId w:val="6"/>
        </w:numPr>
        <w:rPr>
          <w:b/>
        </w:rPr>
      </w:pPr>
      <w:proofErr w:type="spellStart"/>
      <w:r w:rsidRPr="0095053C">
        <w:rPr>
          <w:b/>
        </w:rPr>
        <w:t>Heintz</w:t>
      </w:r>
      <w:proofErr w:type="spellEnd"/>
      <w:r w:rsidRPr="0095053C">
        <w:rPr>
          <w:b/>
        </w:rPr>
        <w:t xml:space="preserve">, BH; and </w:t>
      </w:r>
      <w:proofErr w:type="spellStart"/>
      <w:r w:rsidRPr="0095053C">
        <w:rPr>
          <w:b/>
        </w:rPr>
        <w:t>Halilovic</w:t>
      </w:r>
      <w:proofErr w:type="spellEnd"/>
      <w:r w:rsidRPr="0095053C">
        <w:rPr>
          <w:b/>
        </w:rPr>
        <w:t xml:space="preserve">, J. VRE urinary tract infections. Pharmacotherapy, 2010. </w:t>
      </w:r>
    </w:p>
    <w:p w:rsidR="0095053C" w:rsidP="0095053C" w:rsidRDefault="0095053C" w14:paraId="2C146C10" w14:textId="12DD626D">
      <w:pPr>
        <w:pStyle w:val="ListParagraph"/>
        <w:rPr>
          <w:rFonts w:cs="Arial"/>
          <w:lang w:val="en"/>
        </w:rPr>
      </w:pPr>
      <w:r w:rsidRPr="0095053C">
        <w:rPr>
          <w:rFonts w:cs="Arial"/>
          <w:lang w:val="en"/>
        </w:rPr>
        <w:t xml:space="preserve">Enterococci are a common cause of urinary tract infections (UTIs) among hospitalized patients. The rising prevalence of vancomycin-resistant enterococci (VRE) is of particular concern within many institutions because of its association with increased mortality and health care costs, as well as limited treatment options. Clinicians need to differentiate between VRE-associated urinary colonization, asymptomatic bacteriuria, and UTIs in order to determine the need for treatment, optimal therapeutic options, and length of therapy. Unnecessary use of antibiotics in patients simply colonized and not infected with VRE in the urine has become a large problem in both hospitals and long-term care facilities. A PubMed-MEDLINE search was conducted to identify all English-language literature published between January 1975 and March 2010 in order to summarize diagnostic criteria and treatment options for VRE UTIs. Several antimicrobials are discussed, with the specific focus on those with the potential to treat VRE UTIs and susceptibility patterns of VRE from urinary sources: ampicillin, amoxicillin, </w:t>
      </w:r>
      <w:proofErr w:type="spellStart"/>
      <w:r w:rsidRPr="0095053C">
        <w:rPr>
          <w:rFonts w:cs="Arial"/>
          <w:lang w:val="en"/>
        </w:rPr>
        <w:t>daptomycin</w:t>
      </w:r>
      <w:proofErr w:type="spellEnd"/>
      <w:r w:rsidRPr="0095053C">
        <w:rPr>
          <w:rFonts w:cs="Arial"/>
          <w:lang w:val="en"/>
        </w:rPr>
        <w:t xml:space="preserve">, doxycycline, </w:t>
      </w:r>
      <w:proofErr w:type="spellStart"/>
      <w:r w:rsidRPr="0095053C">
        <w:rPr>
          <w:rFonts w:cs="Arial"/>
          <w:lang w:val="en"/>
        </w:rPr>
        <w:t>fosfomycin</w:t>
      </w:r>
      <w:proofErr w:type="spellEnd"/>
      <w:r w:rsidRPr="0095053C">
        <w:rPr>
          <w:rFonts w:cs="Arial"/>
          <w:lang w:val="en"/>
        </w:rPr>
        <w:t>, imipenem-</w:t>
      </w:r>
      <w:proofErr w:type="spellStart"/>
      <w:r w:rsidRPr="0095053C">
        <w:rPr>
          <w:rFonts w:cs="Arial"/>
          <w:lang w:val="en"/>
        </w:rPr>
        <w:t>cilastatin</w:t>
      </w:r>
      <w:proofErr w:type="spellEnd"/>
      <w:r w:rsidRPr="0095053C">
        <w:rPr>
          <w:rFonts w:cs="Arial"/>
          <w:lang w:val="en"/>
        </w:rPr>
        <w:t xml:space="preserve">, linezolid, nitrofurantoin, penicillin, piperacillin, </w:t>
      </w:r>
      <w:proofErr w:type="spellStart"/>
      <w:r w:rsidRPr="0095053C">
        <w:rPr>
          <w:rFonts w:cs="Arial"/>
          <w:lang w:val="en"/>
        </w:rPr>
        <w:t>quinupristin-dalfopristin</w:t>
      </w:r>
      <w:proofErr w:type="spellEnd"/>
      <w:r w:rsidRPr="0095053C">
        <w:rPr>
          <w:rFonts w:cs="Arial"/>
          <w:lang w:val="en"/>
        </w:rPr>
        <w:t xml:space="preserve">, tetracycline, and </w:t>
      </w:r>
      <w:proofErr w:type="spellStart"/>
      <w:r w:rsidRPr="0095053C">
        <w:rPr>
          <w:rFonts w:cs="Arial"/>
          <w:lang w:val="en"/>
        </w:rPr>
        <w:t>tigecycline</w:t>
      </w:r>
      <w:proofErr w:type="spellEnd"/>
      <w:r w:rsidRPr="0095053C">
        <w:rPr>
          <w:rFonts w:cs="Arial"/>
          <w:lang w:val="en"/>
        </w:rPr>
        <w:t xml:space="preserve">. Recommendations for empiric treatment of </w:t>
      </w:r>
      <w:proofErr w:type="spellStart"/>
      <w:r w:rsidRPr="0095053C">
        <w:rPr>
          <w:rFonts w:cs="Arial"/>
          <w:lang w:val="en"/>
        </w:rPr>
        <w:t>enterococcal</w:t>
      </w:r>
      <w:proofErr w:type="spellEnd"/>
      <w:r w:rsidRPr="0095053C">
        <w:rPr>
          <w:rFonts w:cs="Arial"/>
          <w:lang w:val="en"/>
        </w:rPr>
        <w:t xml:space="preserve"> UTIs and definitive treatment of VRE UTIs, including an evidence-based treatment algorithm, are proposed. Ampicillin generally is considered the drug of choice for ampicillin-susceptible </w:t>
      </w:r>
      <w:proofErr w:type="spellStart"/>
      <w:r w:rsidRPr="0095053C">
        <w:rPr>
          <w:rFonts w:cs="Arial"/>
          <w:lang w:val="en"/>
        </w:rPr>
        <w:t>enterococcal</w:t>
      </w:r>
      <w:proofErr w:type="spellEnd"/>
      <w:r w:rsidRPr="0095053C">
        <w:rPr>
          <w:rFonts w:cs="Arial"/>
          <w:lang w:val="en"/>
        </w:rPr>
        <w:t xml:space="preserve"> UTIs, including VRE. Nitrofurantoin, </w:t>
      </w:r>
      <w:proofErr w:type="spellStart"/>
      <w:r w:rsidRPr="0095053C">
        <w:rPr>
          <w:rFonts w:cs="Arial"/>
          <w:lang w:val="en"/>
        </w:rPr>
        <w:t>fosfomycin</w:t>
      </w:r>
      <w:proofErr w:type="spellEnd"/>
      <w:r w:rsidRPr="0095053C">
        <w:rPr>
          <w:rFonts w:cs="Arial"/>
          <w:lang w:val="en"/>
        </w:rPr>
        <w:t xml:space="preserve">, and doxycycline have intrinsic activity against enterococci, including VRE, and are possible oral options for VRE cystitis. Linezolid and </w:t>
      </w:r>
      <w:proofErr w:type="spellStart"/>
      <w:r w:rsidRPr="0095053C">
        <w:rPr>
          <w:rFonts w:cs="Arial"/>
          <w:lang w:val="en"/>
        </w:rPr>
        <w:t>daptomycin</w:t>
      </w:r>
      <w:proofErr w:type="spellEnd"/>
      <w:r w:rsidRPr="0095053C">
        <w:rPr>
          <w:rFonts w:cs="Arial"/>
          <w:lang w:val="en"/>
        </w:rPr>
        <w:t xml:space="preserve"> should be reserved for confirmed or suspected upper and/or </w:t>
      </w:r>
      <w:proofErr w:type="spellStart"/>
      <w:r w:rsidRPr="0095053C">
        <w:rPr>
          <w:rFonts w:cs="Arial"/>
          <w:lang w:val="en"/>
        </w:rPr>
        <w:t>bacteremic</w:t>
      </w:r>
      <w:proofErr w:type="spellEnd"/>
      <w:r w:rsidRPr="0095053C">
        <w:rPr>
          <w:rFonts w:cs="Arial"/>
          <w:lang w:val="en"/>
        </w:rPr>
        <w:t xml:space="preserve"> VRE UTIs among ampicillin-resistant strains. Use of other antimicrobials, such as </w:t>
      </w:r>
      <w:proofErr w:type="spellStart"/>
      <w:r w:rsidRPr="0095053C">
        <w:rPr>
          <w:rFonts w:cs="Arial"/>
          <w:lang w:val="en"/>
        </w:rPr>
        <w:t>quinupristin-dalfopristin</w:t>
      </w:r>
      <w:proofErr w:type="spellEnd"/>
      <w:r w:rsidRPr="0095053C">
        <w:rPr>
          <w:rFonts w:cs="Arial"/>
          <w:lang w:val="en"/>
        </w:rPr>
        <w:t xml:space="preserve"> and </w:t>
      </w:r>
      <w:proofErr w:type="spellStart"/>
      <w:r w:rsidRPr="0095053C">
        <w:rPr>
          <w:rFonts w:cs="Arial"/>
          <w:lang w:val="en"/>
        </w:rPr>
        <w:t>tigecycline</w:t>
      </w:r>
      <w:proofErr w:type="spellEnd"/>
      <w:r w:rsidRPr="0095053C">
        <w:rPr>
          <w:rFonts w:cs="Arial"/>
          <w:lang w:val="en"/>
        </w:rPr>
        <w:t>, should be evaluated on a case-by-case basis due to concerns of toxicity, resistance, and insufficient supportive data. Additional clinical data are needed to determine the optimal management and duration of therapy for VRE UTIs.</w:t>
      </w:r>
    </w:p>
    <w:p w:rsidR="0095053C" w:rsidP="0095053C" w:rsidRDefault="0095053C" w14:paraId="2607552D" w14:textId="77777777">
      <w:pPr>
        <w:pStyle w:val="ListParagraph"/>
        <w:rPr>
          <w:rFonts w:cs="Arial"/>
          <w:lang w:val="en"/>
        </w:rPr>
      </w:pPr>
    </w:p>
    <w:p w:rsidRPr="0095053C" w:rsidR="0095053C" w:rsidP="0095053C" w:rsidRDefault="0095053C" w14:paraId="61A6D0CC" w14:textId="7C7BEA75">
      <w:pPr>
        <w:pStyle w:val="ListParagraph"/>
        <w:numPr>
          <w:ilvl w:val="0"/>
          <w:numId w:val="6"/>
        </w:numPr>
        <w:rPr>
          <w:rFonts w:cs="Arial"/>
          <w:b/>
          <w:lang w:val="en"/>
        </w:rPr>
      </w:pPr>
      <w:r w:rsidRPr="0095053C">
        <w:rPr>
          <w:rFonts w:cs="Arial"/>
          <w:b/>
          <w:lang w:val="en"/>
        </w:rPr>
        <w:t xml:space="preserve">Shah, KJ, </w:t>
      </w:r>
      <w:proofErr w:type="spellStart"/>
      <w:r w:rsidRPr="0095053C">
        <w:rPr>
          <w:rFonts w:cs="Arial"/>
          <w:b/>
          <w:lang w:val="en"/>
        </w:rPr>
        <w:t>Cherabuddi</w:t>
      </w:r>
      <w:proofErr w:type="spellEnd"/>
      <w:r w:rsidRPr="0095053C">
        <w:rPr>
          <w:rFonts w:cs="Arial"/>
          <w:b/>
          <w:lang w:val="en"/>
        </w:rPr>
        <w:t xml:space="preserve">, K. Ampicillin for the treatment of complicated urinary tract infections caused by VRE: A single center university hospital experience.  Int. J. Antimicrobial Agents. 2018. </w:t>
      </w:r>
    </w:p>
    <w:p w:rsidR="0095053C" w:rsidP="0095053C" w:rsidRDefault="0095053C" w14:paraId="025B6350" w14:textId="5E5BA2A8">
      <w:pPr>
        <w:pStyle w:val="ListParagraph"/>
        <w:rPr>
          <w:rFonts w:cs="Arial"/>
          <w:lang w:val="en"/>
        </w:rPr>
      </w:pPr>
      <w:r w:rsidRPr="0095053C">
        <w:rPr>
          <w:rFonts w:cs="Arial"/>
          <w:lang w:val="en"/>
        </w:rPr>
        <w:lastRenderedPageBreak/>
        <w:t>Vancomycin-resistant enterococci (VRE) are a common cause of urinary tract infections (UTIs) and are typically multidrug resistant, including ampicillin. This retrospective study evaluated outcomes of 84 adult patients hospitalized between January 2007 and December 2015 with ampicillin- and vancomycin-resistant enterococcus isolates causing UTI and treated with ampicillin. Treatment response was classified as clinical cure and microbiological eradication. Clinical cure was achieved in 88.1% (74/84) of patients. In patients with follow-up cultures, microbiological eradication was achieved in 86% (50/58) of patients. Cure rates were similar in patients with indwelling urinary catheters (n = 45) receiving catheter exchange/removal (90.47%; 19/21) versus catheter retention (87.5%; 21/24). Presence of co-morbidities, such as diabetes and chronic kidney disease, were not associated with increased risk of treatment failure. Immunocompromised patients achieved lower cure rates of 78.1% (25/32) compared with 94.2% (49/52) among those without immune impairment (P = 0.038). Presence of an underlying urinary tract abnormality was also associated with a lower cure rate of 71.4% (15/21) compared with 93.7% (59/63) in those without urinary tract abnormalities (P = 0.0135). Overall cure rates remained high in all groups providing good evidence to support ampicillin for the treatment of complicated UTI caused by ampicillin- and vancomycin-resistant enterococci.</w:t>
      </w:r>
    </w:p>
    <w:p w:rsidR="00765DE2" w:rsidP="0095053C" w:rsidRDefault="00765DE2" w14:paraId="1C420C22" w14:textId="77777777">
      <w:pPr>
        <w:pStyle w:val="ListParagraph"/>
        <w:rPr>
          <w:rFonts w:cs="Arial"/>
          <w:lang w:val="en"/>
        </w:rPr>
      </w:pPr>
    </w:p>
    <w:p w:rsidRPr="00765DE2" w:rsidR="00765DE2" w:rsidP="00765DE2" w:rsidRDefault="00765DE2" w14:paraId="2CD82295" w14:textId="7261B49F">
      <w:pPr>
        <w:pStyle w:val="ListParagraph"/>
        <w:numPr>
          <w:ilvl w:val="0"/>
          <w:numId w:val="6"/>
        </w:numPr>
        <w:rPr>
          <w:rFonts w:cs="Arial"/>
          <w:b/>
          <w:lang w:val="en"/>
        </w:rPr>
      </w:pPr>
      <w:r w:rsidRPr="00765DE2">
        <w:rPr>
          <w:rFonts w:cs="Arial"/>
          <w:b/>
          <w:lang w:val="en"/>
        </w:rPr>
        <w:t>Hooton, TM; Roberts, P; Cox, ME; Stapleton, AE. Voided midstream Urine Culture and Acute Cystitis in Premenopausal Women. NEJM. 2013.  369:1883-1891</w:t>
      </w:r>
    </w:p>
    <w:p w:rsidR="0095053C" w:rsidP="0095053C" w:rsidRDefault="0095053C" w14:paraId="069AF7C9" w14:textId="77777777">
      <w:pPr>
        <w:pStyle w:val="ListParagraph"/>
        <w:rPr>
          <w:rFonts w:cs="Arial"/>
          <w:lang w:val="en"/>
        </w:rPr>
      </w:pPr>
    </w:p>
    <w:p w:rsidRPr="0095053C" w:rsidR="0095053C" w:rsidP="0095053C" w:rsidRDefault="0095053C" w14:paraId="02208256" w14:textId="64311FCA">
      <w:pPr>
        <w:pStyle w:val="ListParagraph"/>
        <w:rPr>
          <w:rFonts w:cs="Arial"/>
          <w:lang w:val="en"/>
        </w:rPr>
      </w:pPr>
      <w:r>
        <w:rPr>
          <w:noProof/>
        </w:rPr>
        <w:drawing>
          <wp:inline distT="0" distB="0" distL="0" distR="0" wp14:anchorId="4B9D67D7" wp14:editId="5B1586E8">
            <wp:extent cx="5943600" cy="3084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084830"/>
                    </a:xfrm>
                    <a:prstGeom prst="rect">
                      <a:avLst/>
                    </a:prstGeom>
                  </pic:spPr>
                </pic:pic>
              </a:graphicData>
            </a:graphic>
          </wp:inline>
        </w:drawing>
      </w:r>
    </w:p>
    <w:p w:rsidRPr="0095053C" w:rsidR="0095053C" w:rsidP="0095053C" w:rsidRDefault="0095053C" w14:paraId="57A5186C" w14:textId="77777777">
      <w:pPr>
        <w:pStyle w:val="ListParagraph"/>
        <w:rPr>
          <w:b/>
          <w:sz w:val="28"/>
          <w:szCs w:val="28"/>
        </w:rPr>
      </w:pPr>
    </w:p>
    <w:p w:rsidRPr="0095053C" w:rsidR="0080209A" w:rsidP="0095053C" w:rsidRDefault="0080209A" w14:paraId="322C9BC5" w14:textId="77777777">
      <w:pPr>
        <w:rPr>
          <w:rFonts w:ascii="Corbel" w:hAnsi="Corbel"/>
          <w:sz w:val="28"/>
          <w:szCs w:val="28"/>
        </w:rPr>
      </w:pPr>
    </w:p>
    <w:sectPr w:rsidRPr="0095053C" w:rsidR="0080209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F8E"/>
    <w:multiLevelType w:val="hybridMultilevel"/>
    <w:tmpl w:val="821C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E6C1D"/>
    <w:multiLevelType w:val="hybridMultilevel"/>
    <w:tmpl w:val="BC64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33E82"/>
    <w:multiLevelType w:val="hybridMultilevel"/>
    <w:tmpl w:val="F0DA8F6A"/>
    <w:lvl w:ilvl="0" w:tplc="FAD2DB6A">
      <w:numFmt w:val="bullet"/>
      <w:lvlText w:val="-"/>
      <w:lvlJc w:val="left"/>
      <w:pPr>
        <w:ind w:left="720" w:hanging="360"/>
      </w:pPr>
      <w:rPr>
        <w:rFonts w:hint="default" w:ascii="Corbel" w:hAnsi="Corbe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4B6E7953"/>
    <w:multiLevelType w:val="hybridMultilevel"/>
    <w:tmpl w:val="80E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2C773D"/>
    <w:multiLevelType w:val="hybridMultilevel"/>
    <w:tmpl w:val="549E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people.xml><?xml version="1.0" encoding="utf-8"?>
<w15:people xmlns:mc="http://schemas.openxmlformats.org/markup-compatibility/2006" xmlns:w15="http://schemas.microsoft.com/office/word/2012/wordml" mc:Ignorable="w15">
  <w15:person w15:author="chloebc@gmail.com">
    <w15:presenceInfo w15:providerId="Windows Live" w15:userId="fd83d25bd2335958"/>
  </w15:person>
  <w15:person w15:author="Chloe Bryson-Cahn">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A207DC-9467-46F0-B0C9-F1E6C50A0C75}"/>
    <w:docVar w:name="dgnword-eventsink" w:val="106416720"/>
  </w:docVars>
  <w:rsids>
    <w:rsidRoot w:val="0084391C"/>
    <w:rsid w:val="00092FF7"/>
    <w:rsid w:val="000D6083"/>
    <w:rsid w:val="002D4F3B"/>
    <w:rsid w:val="004D4A9A"/>
    <w:rsid w:val="00545B9C"/>
    <w:rsid w:val="005D4FDE"/>
    <w:rsid w:val="00765DE2"/>
    <w:rsid w:val="007B3ED0"/>
    <w:rsid w:val="0080209A"/>
    <w:rsid w:val="0084391C"/>
    <w:rsid w:val="00943280"/>
    <w:rsid w:val="0095053C"/>
    <w:rsid w:val="00983F99"/>
    <w:rsid w:val="009E6D33"/>
    <w:rsid w:val="00A4505B"/>
    <w:rsid w:val="00A544D0"/>
    <w:rsid w:val="00D05950"/>
    <w:rsid w:val="00D16707"/>
    <w:rsid w:val="00F04E3A"/>
    <w:rsid w:val="05D3F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Hyperlink">
    <w:name w:val="Hyperlink"/>
    <w:basedOn w:val="DefaultParagraphFont"/>
    <w:uiPriority w:val="99"/>
    <w:semiHidden/>
    <w:unhideWhenUsed/>
    <w:rsid w:val="000D6083"/>
    <w:rPr>
      <w:color w:val="0000FF"/>
      <w:u w:val="single"/>
    </w:rPr>
  </w:style>
  <w:style w:type="character" w:styleId="pp-pub-journal1" w:customStyle="1">
    <w:name w:val="pp-pub-journal1"/>
    <w:basedOn w:val="DefaultParagraphFont"/>
    <w:rsid w:val="0095053C"/>
    <w:rPr>
      <w:i/>
      <w:iCs/>
      <w:color w:val="008000"/>
    </w:rPr>
  </w:style>
  <w:style w:type="character" w:styleId="pp-pub-year" w:customStyle="1">
    <w:name w:val="pp-pub-year"/>
    <w:basedOn w:val="DefaultParagraphFont"/>
    <w:rsid w:val="0095053C"/>
  </w:style>
  <w:style w:type="character" w:styleId="pp-pub-type1" w:customStyle="1">
    <w:name w:val="pp-pub-type1"/>
    <w:basedOn w:val="DefaultParagraphFont"/>
    <w:rsid w:val="0095053C"/>
    <w:rPr>
      <w:color w:val="B3B3B3"/>
    </w:rPr>
  </w:style>
  <w:style w:type="character" w:styleId="pp-pub-abstract-icon1" w:customStyle="1">
    <w:name w:val="pp-pub-abstract-icon1"/>
    <w:basedOn w:val="DefaultParagraphFont"/>
    <w:rsid w:val="0095053C"/>
    <w:rPr>
      <w:color w:val="BFBFBF"/>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0D6083"/>
    <w:rPr>
      <w:color w:val="0000FF"/>
      <w:u w:val="single"/>
    </w:rPr>
  </w:style>
  <w:style w:type="character" w:customStyle="1" w:styleId="pp-pub-journal1">
    <w:name w:val="pp-pub-journal1"/>
    <w:basedOn w:val="DefaultParagraphFont"/>
    <w:rsid w:val="0095053C"/>
    <w:rPr>
      <w:i/>
      <w:iCs/>
      <w:color w:val="008000"/>
    </w:rPr>
  </w:style>
  <w:style w:type="character" w:customStyle="1" w:styleId="pp-pub-year">
    <w:name w:val="pp-pub-year"/>
    <w:basedOn w:val="DefaultParagraphFont"/>
    <w:rsid w:val="0095053C"/>
  </w:style>
  <w:style w:type="character" w:customStyle="1" w:styleId="pp-pub-type1">
    <w:name w:val="pp-pub-type1"/>
    <w:basedOn w:val="DefaultParagraphFont"/>
    <w:rsid w:val="0095053C"/>
    <w:rPr>
      <w:color w:val="B3B3B3"/>
    </w:rPr>
  </w:style>
  <w:style w:type="character" w:customStyle="1" w:styleId="pp-pub-abstract-icon1">
    <w:name w:val="pp-pub-abstract-icon1"/>
    <w:basedOn w:val="DefaultParagraphFont"/>
    <w:rsid w:val="0095053C"/>
    <w:rPr>
      <w:color w:val="BFBFB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3246">
      <w:bodyDiv w:val="1"/>
      <w:marLeft w:val="0"/>
      <w:marRight w:val="0"/>
      <w:marTop w:val="0"/>
      <w:marBottom w:val="0"/>
      <w:divBdr>
        <w:top w:val="none" w:sz="0" w:space="0" w:color="auto"/>
        <w:left w:val="none" w:sz="0" w:space="0" w:color="auto"/>
        <w:bottom w:val="none" w:sz="0" w:space="0" w:color="auto"/>
        <w:right w:val="none" w:sz="0" w:space="0" w:color="auto"/>
      </w:divBdr>
      <w:divsChild>
        <w:div w:id="84494368">
          <w:marLeft w:val="0"/>
          <w:marRight w:val="0"/>
          <w:marTop w:val="0"/>
          <w:marBottom w:val="0"/>
          <w:divBdr>
            <w:top w:val="none" w:sz="0" w:space="0" w:color="auto"/>
            <w:left w:val="none" w:sz="0" w:space="0" w:color="auto"/>
            <w:bottom w:val="none" w:sz="0" w:space="0" w:color="auto"/>
            <w:right w:val="none" w:sz="0" w:space="0" w:color="auto"/>
          </w:divBdr>
          <w:divsChild>
            <w:div w:id="1953127807">
              <w:marLeft w:val="0"/>
              <w:marRight w:val="0"/>
              <w:marTop w:val="0"/>
              <w:marBottom w:val="0"/>
              <w:divBdr>
                <w:top w:val="none" w:sz="0" w:space="0" w:color="auto"/>
                <w:left w:val="none" w:sz="0" w:space="0" w:color="auto"/>
                <w:bottom w:val="none" w:sz="0" w:space="0" w:color="auto"/>
                <w:right w:val="none" w:sz="0" w:space="0" w:color="auto"/>
              </w:divBdr>
              <w:divsChild>
                <w:div w:id="1150558750">
                  <w:marLeft w:val="0"/>
                  <w:marRight w:val="0"/>
                  <w:marTop w:val="0"/>
                  <w:marBottom w:val="0"/>
                  <w:divBdr>
                    <w:top w:val="none" w:sz="0" w:space="0" w:color="auto"/>
                    <w:left w:val="none" w:sz="0" w:space="0" w:color="auto"/>
                    <w:bottom w:val="none" w:sz="0" w:space="0" w:color="auto"/>
                    <w:right w:val="none" w:sz="0" w:space="0" w:color="auto"/>
                  </w:divBdr>
                  <w:divsChild>
                    <w:div w:id="560218191">
                      <w:marLeft w:val="0"/>
                      <w:marRight w:val="0"/>
                      <w:marTop w:val="0"/>
                      <w:marBottom w:val="0"/>
                      <w:divBdr>
                        <w:top w:val="none" w:sz="0" w:space="0" w:color="auto"/>
                        <w:left w:val="none" w:sz="0" w:space="0" w:color="auto"/>
                        <w:bottom w:val="none" w:sz="0" w:space="0" w:color="auto"/>
                        <w:right w:val="none" w:sz="0" w:space="0" w:color="auto"/>
                      </w:divBdr>
                      <w:divsChild>
                        <w:div w:id="918559213">
                          <w:marLeft w:val="0"/>
                          <w:marRight w:val="0"/>
                          <w:marTop w:val="0"/>
                          <w:marBottom w:val="0"/>
                          <w:divBdr>
                            <w:top w:val="none" w:sz="0" w:space="0" w:color="auto"/>
                            <w:left w:val="none" w:sz="0" w:space="0" w:color="auto"/>
                            <w:bottom w:val="none" w:sz="0" w:space="0" w:color="auto"/>
                            <w:right w:val="none" w:sz="0" w:space="0" w:color="auto"/>
                          </w:divBdr>
                          <w:divsChild>
                            <w:div w:id="1068578251">
                              <w:marLeft w:val="0"/>
                              <w:marRight w:val="0"/>
                              <w:marTop w:val="0"/>
                              <w:marBottom w:val="0"/>
                              <w:divBdr>
                                <w:top w:val="none" w:sz="0" w:space="0" w:color="auto"/>
                                <w:left w:val="none" w:sz="0" w:space="0" w:color="auto"/>
                                <w:bottom w:val="none" w:sz="0" w:space="0" w:color="auto"/>
                                <w:right w:val="none" w:sz="0" w:space="0" w:color="auto"/>
                              </w:divBdr>
                              <w:divsChild>
                                <w:div w:id="1597983527">
                                  <w:marLeft w:val="0"/>
                                  <w:marRight w:val="0"/>
                                  <w:marTop w:val="225"/>
                                  <w:marBottom w:val="225"/>
                                  <w:divBdr>
                                    <w:top w:val="none" w:sz="0" w:space="0" w:color="auto"/>
                                    <w:left w:val="none" w:sz="0" w:space="0" w:color="auto"/>
                                    <w:bottom w:val="none" w:sz="0" w:space="0" w:color="auto"/>
                                    <w:right w:val="none" w:sz="0" w:space="0" w:color="auto"/>
                                  </w:divBdr>
                                  <w:divsChild>
                                    <w:div w:id="1050423467">
                                      <w:marLeft w:val="0"/>
                                      <w:marRight w:val="0"/>
                                      <w:marTop w:val="0"/>
                                      <w:marBottom w:val="0"/>
                                      <w:divBdr>
                                        <w:top w:val="none" w:sz="0" w:space="0" w:color="auto"/>
                                        <w:left w:val="none" w:sz="0" w:space="0" w:color="auto"/>
                                        <w:bottom w:val="none" w:sz="0" w:space="0" w:color="auto"/>
                                        <w:right w:val="none" w:sz="0" w:space="0" w:color="auto"/>
                                      </w:divBdr>
                                    </w:div>
                                    <w:div w:id="565607415">
                                      <w:marLeft w:val="0"/>
                                      <w:marRight w:val="0"/>
                                      <w:marTop w:val="0"/>
                                      <w:marBottom w:val="0"/>
                                      <w:divBdr>
                                        <w:top w:val="none" w:sz="0" w:space="0" w:color="auto"/>
                                        <w:left w:val="none" w:sz="0" w:space="0" w:color="auto"/>
                                        <w:bottom w:val="none" w:sz="0" w:space="0" w:color="auto"/>
                                        <w:right w:val="none" w:sz="0" w:space="0" w:color="auto"/>
                                      </w:divBdr>
                                    </w:div>
                                    <w:div w:id="1310016763">
                                      <w:marLeft w:val="0"/>
                                      <w:marRight w:val="0"/>
                                      <w:marTop w:val="0"/>
                                      <w:marBottom w:val="0"/>
                                      <w:divBdr>
                                        <w:top w:val="none" w:sz="0" w:space="0" w:color="auto"/>
                                        <w:left w:val="none" w:sz="0" w:space="0" w:color="auto"/>
                                        <w:bottom w:val="none" w:sz="0" w:space="0" w:color="auto"/>
                                        <w:right w:val="none" w:sz="0" w:space="0" w:color="auto"/>
                                      </w:divBdr>
                                    </w:div>
                                    <w:div w:id="16573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UW Medicine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Lynch, John B</dc:creator>
  <lastModifiedBy>Chloe Bryson-Cahn</lastModifiedBy>
  <revision>3</revision>
  <dcterms:created xsi:type="dcterms:W3CDTF">2018-02-13T19:16:00.0000000Z</dcterms:created>
  <dcterms:modified xsi:type="dcterms:W3CDTF">2018-02-13T19:29:42.0351405Z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