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/>
      </w:pPr>
      <w:bookmarkStart w:colFirst="0" w:colLast="0" w:name="_gjdgxs" w:id="0"/>
      <w:bookmarkEnd w:id="0"/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314325" cy="314325"/>
                <wp:effectExtent b="0" l="0" r="0" t="0"/>
                <wp:docPr descr="UW TASP_LogoExploration_RGB_Color.jpg"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14325" cy="314325"/>
                <wp:effectExtent b="0" l="0" r="0" t="0"/>
                <wp:docPr descr="UW TASP_LogoExploration_RGB_Color.jpg" id="3" name="image6.png"/>
                <a:graphic>
                  <a:graphicData uri="http://schemas.openxmlformats.org/drawingml/2006/picture">
                    <pic:pic>
                      <pic:nvPicPr>
                        <pic:cNvPr descr="UW TASP_LogoExploration_RGB_Color.jpg"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/>
        <w:drawing>
          <wp:inline distB="0" distT="0" distL="0" distR="0">
            <wp:extent cx="2638425" cy="777151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7771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rbel" w:cs="Corbel" w:eastAsia="Corbel" w:hAnsi="Corbel"/>
          <w:b w:val="1"/>
          <w:sz w:val="32"/>
          <w:szCs w:val="32"/>
        </w:rPr>
      </w:pPr>
      <w:r w:rsidDel="00000000" w:rsidR="00000000" w:rsidRPr="00000000">
        <w:rPr>
          <w:rFonts w:ascii="Corbel" w:cs="Corbel" w:eastAsia="Corbel" w:hAnsi="Corbel"/>
          <w:b w:val="1"/>
          <w:sz w:val="32"/>
          <w:szCs w:val="32"/>
          <w:rtl w:val="0"/>
        </w:rPr>
        <w:t xml:space="preserve">Session Summary for 06 February 2018</w:t>
      </w:r>
    </w:p>
    <w:p w:rsidR="00000000" w:rsidDel="00000000" w:rsidP="00000000" w:rsidRDefault="00000000" w:rsidRPr="00000000">
      <w:pPr>
        <w:contextualSpacing w:val="0"/>
        <w:rPr>
          <w:rFonts w:ascii="Corbel" w:cs="Corbel" w:eastAsia="Corbel" w:hAnsi="Corbel"/>
          <w:sz w:val="28"/>
          <w:szCs w:val="28"/>
        </w:rPr>
      </w:pPr>
      <w:r w:rsidDel="00000000" w:rsidR="00000000" w:rsidRPr="00000000">
        <w:rPr>
          <w:rFonts w:ascii="Corbel" w:cs="Corbel" w:eastAsia="Corbel" w:hAnsi="Corbel"/>
          <w:b w:val="1"/>
          <w:sz w:val="28"/>
          <w:szCs w:val="28"/>
          <w:rtl w:val="0"/>
        </w:rPr>
        <w:t xml:space="preserve">Didactic: </w:t>
      </w:r>
      <w:r w:rsidDel="00000000" w:rsidR="00000000" w:rsidRPr="00000000">
        <w:rPr>
          <w:rFonts w:ascii="Corbel" w:cs="Corbel" w:eastAsia="Corbel" w:hAnsi="Corbel"/>
          <w:sz w:val="28"/>
          <w:szCs w:val="28"/>
          <w:rtl w:val="0"/>
        </w:rPr>
        <w:t xml:space="preserve">Antibiotic Stewardship for Respiratory Tract Infections</w:t>
      </w:r>
    </w:p>
    <w:p w:rsidR="00000000" w:rsidDel="00000000" w:rsidP="00000000" w:rsidRDefault="00000000" w:rsidRPr="00000000">
      <w:pPr>
        <w:contextualSpacing w:val="0"/>
        <w:rPr>
          <w:rFonts w:ascii="Corbel" w:cs="Corbel" w:eastAsia="Corbel" w:hAnsi="Corbel"/>
          <w:sz w:val="28"/>
          <w:szCs w:val="28"/>
        </w:rPr>
      </w:pPr>
      <w:r w:rsidDel="00000000" w:rsidR="00000000" w:rsidRPr="00000000">
        <w:rPr>
          <w:rFonts w:ascii="Corbel" w:cs="Corbel" w:eastAsia="Corbel" w:hAnsi="Corbel"/>
          <w:sz w:val="28"/>
          <w:szCs w:val="28"/>
          <w:rtl w:val="0"/>
        </w:rPr>
        <w:t xml:space="preserve">Speaker: Zahra Kassamali Escobar</w:t>
      </w:r>
    </w:p>
    <w:p w:rsidR="00000000" w:rsidDel="00000000" w:rsidP="00000000" w:rsidRDefault="00000000" w:rsidRPr="00000000">
      <w:pPr>
        <w:contextualSpacing w:val="0"/>
        <w:rPr>
          <w:rFonts w:ascii="Corbel" w:cs="Corbel" w:eastAsia="Corbel" w:hAnsi="Corbel"/>
          <w:sz w:val="28"/>
          <w:szCs w:val="28"/>
        </w:rPr>
      </w:pPr>
      <w:r w:rsidDel="00000000" w:rsidR="00000000" w:rsidRPr="00000000">
        <w:rPr>
          <w:rFonts w:ascii="Corbel" w:cs="Corbel" w:eastAsia="Corbel" w:hAnsi="Corbel"/>
          <w:sz w:val="28"/>
          <w:szCs w:val="28"/>
          <w:rtl w:val="0"/>
        </w:rPr>
        <w:t xml:space="preserve">Key points: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Many abx durations are arbitrary...remember the "Constantine Unit"</w:t>
      </w:r>
      <w:r w:rsidDel="00000000" w:rsidR="00000000" w:rsidRPr="00000000">
        <w:rPr>
          <w:rFonts w:ascii="Corbel" w:cs="Corbel" w:eastAsia="Corbel" w:hAnsi="Corbel"/>
          <w:sz w:val="28"/>
          <w:szCs w:val="28"/>
          <w:rtl w:val="0"/>
        </w:rPr>
        <w:t xml:space="preserve"> </w:t>
      </w:r>
      <w:hyperlink r:id="rId8">
        <w:r w:rsidDel="00000000" w:rsidR="00000000" w:rsidRPr="00000000">
          <w:rPr>
            <w:rFonts w:ascii="Corbel" w:cs="Corbel" w:eastAsia="Corbel" w:hAnsi="Corbel"/>
            <w:color w:val="1155cc"/>
            <w:sz w:val="28"/>
            <w:szCs w:val="28"/>
            <w:u w:val="single"/>
            <w:rtl w:val="0"/>
          </w:rPr>
          <w:t xml:space="preserve">(Spellberg 2018)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Symptom-guided duration for CAP = safely d/c abx on day 5 if meeting specific markers of improvement </w:t>
      </w:r>
      <w:hyperlink r:id="rId9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(Uranga et al. 2016)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The Valley Medical Center “sticky note”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contextualSpacing w:val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5943600" cy="193040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The 3-step pathway paper</w:t>
      </w:r>
      <w:hyperlink r:id="rId11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(Carratalà et al. 2012)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contextualSpacing w:val="1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Early mobilization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contextualSpacing w:val="1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IV to PO conversion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contextualSpacing w:val="1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Predefined criteria for discharge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contextualSpacing w:val="1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BUT, implementation…..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MRSA surveillance swabs are very good negative predictors of MRSA respiratory tract infection (negative swab = MRSA very very unlikely). Nice opportunity for stewardship. </w:t>
      </w:r>
      <w:hyperlink r:id="rId12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(Chotiprasitsakul et al. 2018; Chan et al. 2012)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Cases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Shannon @ Jefferson</w:t>
      </w:r>
    </w:p>
    <w:p w:rsidR="00000000" w:rsidDel="00000000" w:rsidP="00000000" w:rsidRDefault="00000000" w:rsidRPr="00000000">
      <w:pPr>
        <w:ind w:left="720" w:firstLine="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Possible COPD exacerbation 2nd to RSV, treated for CAP, intubated. </w:t>
      </w:r>
      <w:r w:rsidDel="00000000" w:rsidR="00000000" w:rsidRPr="00000000">
        <w:rPr>
          <w:i w:val="1"/>
          <w:sz w:val="28"/>
          <w:szCs w:val="28"/>
          <w:rtl w:val="0"/>
        </w:rPr>
        <w:t xml:space="preserve">S. viridans</w:t>
      </w:r>
      <w:r w:rsidDel="00000000" w:rsidR="00000000" w:rsidRPr="00000000">
        <w:rPr>
          <w:sz w:val="28"/>
          <w:szCs w:val="28"/>
          <w:rtl w:val="0"/>
        </w:rPr>
        <w:t xml:space="preserve"> from sputum likely local non-pathogenic bacteria. When improved and extubated, MDR Pseudomonas isolated and treated with high dose cefepime + gentamicin. Patient improved then worsened, then treated again, improved.</w:t>
      </w:r>
    </w:p>
    <w:p w:rsidR="00000000" w:rsidDel="00000000" w:rsidP="00000000" w:rsidRDefault="00000000" w:rsidRPr="00000000">
      <w:pPr>
        <w:ind w:left="720" w:firstLine="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Key take-aways: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RSV can put adults in the ICU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Unclear if CAP or COPD exacerbation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Value of sputum culture dependent on diagnosis, quality of specimen and timing. Usually not helpful if patient improving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Given high MIC, cefepime likely not indicated, but very difficult to treat organism if truly infected. Based on the sensis alone, rec ID consult (transfer PRN)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Incredibly complicated patient who survived due to some outstanding care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Colleen @ Whidbey</w:t>
      </w:r>
    </w:p>
    <w:p w:rsidR="00000000" w:rsidDel="00000000" w:rsidP="00000000" w:rsidRDefault="00000000" w:rsidRPr="00000000">
      <w:pPr>
        <w:ind w:left="720" w:firstLine="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Likely GI bleed headed for colonoscopy tested for </w:t>
      </w:r>
      <w:r w:rsidDel="00000000" w:rsidR="00000000" w:rsidRPr="00000000">
        <w:rPr>
          <w:i w:val="1"/>
          <w:sz w:val="28"/>
          <w:szCs w:val="28"/>
          <w:rtl w:val="0"/>
        </w:rPr>
        <w:t xml:space="preserve">C. difficile</w:t>
      </w:r>
      <w:r w:rsidDel="00000000" w:rsidR="00000000" w:rsidRPr="00000000">
        <w:rPr>
          <w:sz w:val="28"/>
          <w:szCs w:val="28"/>
          <w:rtl w:val="0"/>
        </w:rPr>
        <w:t xml:space="preserve"> to determine safety of scoping (?). Treated with PO metronidazole and PO vancomycin and scope delayed due to + test.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440" w:hanging="360"/>
        <w:contextualSpacing w:val="1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C. difficile </w:t>
      </w:r>
      <w:r w:rsidDel="00000000" w:rsidR="00000000" w:rsidRPr="00000000">
        <w:rPr>
          <w:sz w:val="28"/>
          <w:szCs w:val="28"/>
          <w:rtl w:val="0"/>
        </w:rPr>
        <w:t xml:space="preserve">is a common colonizer (5% to 50% depending on population sampled)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440" w:hanging="360"/>
        <w:contextualSpacing w:val="1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C. difficile</w:t>
      </w:r>
      <w:r w:rsidDel="00000000" w:rsidR="00000000" w:rsidRPr="00000000">
        <w:rPr>
          <w:sz w:val="28"/>
          <w:szCs w:val="28"/>
          <w:rtl w:val="0"/>
        </w:rPr>
        <w:t xml:space="preserve"> infection does not cause hemorrhagic diarrhea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440" w:hanging="360"/>
        <w:contextualSpacing w:val="1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C. difficile</w:t>
      </w:r>
      <w:r w:rsidDel="00000000" w:rsidR="00000000" w:rsidRPr="00000000">
        <w:rPr>
          <w:sz w:val="28"/>
          <w:szCs w:val="28"/>
          <w:rtl w:val="0"/>
        </w:rPr>
        <w:t xml:space="preserve"> disease is “usually” defined as 3 or more very loose, diarrheal bowel movements within 24 hours, off laxatives and often accompanied by leukocytosis, abdominal pain and/or fever. 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440" w:hanging="360"/>
        <w:contextualSpacing w:val="1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For mild to moderate CDI, metronidazole 500mg PO TID x 10-14 days is recommended (not q6) or vancomycin 125mg PO q6 hrs x 10-14 days. Higher doses are not recommended due to toxicity (metronidazole) and lack of benefit (both metronidazole and vancomycin)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440" w:hanging="360"/>
        <w:contextualSpacing w:val="1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Labs will generally not reject a stool specimen if it takes the shape of the cup (rough criteria) and will not assess other characteristics (in this case mucous and blood).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Next week’s didactic: Spine Infections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Thanks for another great sesssion!</w:t>
        <w:br w:type="textWrapping"/>
        <w:br w:type="textWrapping"/>
        <w:t xml:space="preserve">- John and the rest of the UW TASP team 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References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Chotiprasitsakul, D., Tamma, P. D., Gadala, A. &amp; Cosgrove, S. E. The Role of Negative Methicillin-Resistant Staphylococcus aureus Nasal Surveillance Swabs in Predicting the Need for Empiric Vancomycin Therapy in Intensive Care Unit Patients. </w:t>
      </w:r>
      <w:r w:rsidDel="00000000" w:rsidR="00000000" w:rsidRPr="00000000">
        <w:rPr>
          <w:i w:val="1"/>
          <w:sz w:val="28"/>
          <w:szCs w:val="28"/>
          <w:rtl w:val="0"/>
        </w:rPr>
        <w:t xml:space="preserve">Infect. Control Hosp. Epidemiol.</w:t>
      </w:r>
      <w:r w:rsidDel="00000000" w:rsidR="00000000" w:rsidRPr="00000000">
        <w:rPr>
          <w:sz w:val="28"/>
          <w:szCs w:val="28"/>
          <w:rtl w:val="0"/>
        </w:rPr>
        <w:t xml:space="preserve"> 1–7 (2018).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Carratalà, J. </w:t>
      </w:r>
      <w:r w:rsidDel="00000000" w:rsidR="00000000" w:rsidRPr="00000000">
        <w:rPr>
          <w:i w:val="1"/>
          <w:sz w:val="28"/>
          <w:szCs w:val="28"/>
          <w:rtl w:val="0"/>
        </w:rPr>
        <w:t xml:space="preserve">et al.</w:t>
      </w:r>
      <w:r w:rsidDel="00000000" w:rsidR="00000000" w:rsidRPr="00000000">
        <w:rPr>
          <w:sz w:val="28"/>
          <w:szCs w:val="28"/>
          <w:rtl w:val="0"/>
        </w:rPr>
        <w:t xml:space="preserve"> Effect of a 3-step critical pathway to reduce duration of intravenous antibiotic therapy and length of stay in community-acquired pneumonia: a randomized controlled trial. </w:t>
      </w:r>
      <w:r w:rsidDel="00000000" w:rsidR="00000000" w:rsidRPr="00000000">
        <w:rPr>
          <w:i w:val="1"/>
          <w:sz w:val="28"/>
          <w:szCs w:val="28"/>
          <w:rtl w:val="0"/>
        </w:rPr>
        <w:t xml:space="preserve">Arch. Intern. Med.</w:t>
      </w:r>
      <w:r w:rsidDel="00000000" w:rsidR="00000000" w:rsidRPr="00000000">
        <w:rPr>
          <w:sz w:val="28"/>
          <w:szCs w:val="28"/>
          <w:rtl w:val="0"/>
        </w:rPr>
        <w:t xml:space="preserve"> 172, 922–928 (2012).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Uranga, A. </w:t>
      </w:r>
      <w:r w:rsidDel="00000000" w:rsidR="00000000" w:rsidRPr="00000000">
        <w:rPr>
          <w:i w:val="1"/>
          <w:sz w:val="28"/>
          <w:szCs w:val="28"/>
          <w:rtl w:val="0"/>
        </w:rPr>
        <w:t xml:space="preserve">et al.</w:t>
      </w:r>
      <w:r w:rsidDel="00000000" w:rsidR="00000000" w:rsidRPr="00000000">
        <w:rPr>
          <w:sz w:val="28"/>
          <w:szCs w:val="28"/>
          <w:rtl w:val="0"/>
        </w:rPr>
        <w:t xml:space="preserve"> Duration of Antibiotic Treatment in Community-Acquired Pneumonia: A Multicenter Randomized Clinical Trial. </w:t>
      </w:r>
      <w:r w:rsidDel="00000000" w:rsidR="00000000" w:rsidRPr="00000000">
        <w:rPr>
          <w:i w:val="1"/>
          <w:sz w:val="28"/>
          <w:szCs w:val="28"/>
          <w:rtl w:val="0"/>
        </w:rPr>
        <w:t xml:space="preserve">JAMA Intern. Med.</w:t>
      </w:r>
      <w:r w:rsidDel="00000000" w:rsidR="00000000" w:rsidRPr="00000000">
        <w:rPr>
          <w:sz w:val="28"/>
          <w:szCs w:val="28"/>
          <w:rtl w:val="0"/>
        </w:rPr>
        <w:t xml:space="preserve"> 176, 1257–1265 (2016).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Spellberg, B. The Maturing Antibiotic Mantra: ‘Shorter Is Still Better’. </w:t>
      </w:r>
      <w:r w:rsidDel="00000000" w:rsidR="00000000" w:rsidRPr="00000000">
        <w:rPr>
          <w:i w:val="1"/>
          <w:sz w:val="28"/>
          <w:szCs w:val="28"/>
          <w:rtl w:val="0"/>
        </w:rPr>
        <w:t xml:space="preserve">J. Hosp. Med.</w:t>
      </w:r>
      <w:r w:rsidDel="00000000" w:rsidR="00000000" w:rsidRPr="00000000">
        <w:rPr>
          <w:sz w:val="28"/>
          <w:szCs w:val="28"/>
          <w:rtl w:val="0"/>
        </w:rPr>
        <w:t xml:space="preserve"> (2018). doi:10.12788/jhm.2904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Courier New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perpile.com/c/S6lZ7E/tlyP" TargetMode="External"/><Relationship Id="rId13" Type="http://schemas.openxmlformats.org/officeDocument/2006/relationships/customXml" Target="../customXml/item1.xml"/><Relationship Id="rId3" Type="http://schemas.openxmlformats.org/officeDocument/2006/relationships/fontTable" Target="fontTable.xml"/><Relationship Id="rId12" Type="http://schemas.openxmlformats.org/officeDocument/2006/relationships/hyperlink" Target="https://paperpile.com/c/S6lZ7E/B9GS+NXYX" TargetMode="Externa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11" Type="http://schemas.openxmlformats.org/officeDocument/2006/relationships/hyperlink" Target="https://paperpile.com/c/S6lZ7E/kMgk" TargetMode="External"/><Relationship Id="rId6" Type="http://schemas.openxmlformats.org/officeDocument/2006/relationships/image" Target="media/image6.png"/><Relationship Id="rId5" Type="http://schemas.openxmlformats.org/officeDocument/2006/relationships/styles" Target="styles.xml"/><Relationship Id="rId15" Type="http://schemas.openxmlformats.org/officeDocument/2006/relationships/customXml" Target="../customXml/item3.xml"/><Relationship Id="rId10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hyperlink" Target="https://paperpile.com/c/S6lZ7E/O4gj" TargetMode="External"/><Relationship Id="rId14" Type="http://schemas.openxmlformats.org/officeDocument/2006/relationships/customXml" Target="../customXml/item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063322ECD2A4C836D2589E489F290" ma:contentTypeVersion="4" ma:contentTypeDescription="Create a new document." ma:contentTypeScope="" ma:versionID="87d255104f8536b5b85e366e31c232d6">
  <xsd:schema xmlns:xsd="http://www.w3.org/2001/XMLSchema" xmlns:xs="http://www.w3.org/2001/XMLSchema" xmlns:p="http://schemas.microsoft.com/office/2006/metadata/properties" xmlns:ns2="eacaa5ce-4b13-4929-997a-fd8c1bfe780a" xmlns:ns3="69aa3883-b251-412e-bf1d-acb3217d06af" targetNamespace="http://schemas.microsoft.com/office/2006/metadata/properties" ma:root="true" ma:fieldsID="4c8521088e9a5bdd28cc23b4085936d8" ns2:_="" ns3:_="">
    <xsd:import namespace="eacaa5ce-4b13-4929-997a-fd8c1bfe780a"/>
    <xsd:import namespace="69aa3883-b251-412e-bf1d-acb3217d06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aa5ce-4b13-4929-997a-fd8c1bfe78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a3883-b251-412e-bf1d-acb3217d0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caa5ce-4b13-4929-997a-fd8c1bfe780a">
      <UserInfo>
        <DisplayName>Paul S Pottinger</DisplayName>
        <AccountId>12</AccountId>
        <AccountType/>
      </UserInfo>
      <UserInfo>
        <DisplayName>CHLOE BRYSON-CAHN</DisplayName>
        <AccountId>21</AccountId>
        <AccountType/>
      </UserInfo>
      <UserInfo>
        <DisplayName>Natalia Martinez-Paz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1BBAC47-60F2-401B-ACAA-9566CEB1A51B}"/>
</file>

<file path=customXml/itemProps2.xml><?xml version="1.0" encoding="utf-8"?>
<ds:datastoreItem xmlns:ds="http://schemas.openxmlformats.org/officeDocument/2006/customXml" ds:itemID="{DFEFDD8A-7857-4A85-B640-373E5A466810}"/>
</file>

<file path=customXml/itemProps3.xml><?xml version="1.0" encoding="utf-8"?>
<ds:datastoreItem xmlns:ds="http://schemas.openxmlformats.org/officeDocument/2006/customXml" ds:itemID="{DE1295C5-87F8-4FBD-852B-B59E45B0B455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0x010100508063322ECD2A4C836D2589E489F290</vt:lpwstr>
  </property>
</Properties>
</file>