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66" w:rsidRPr="00950566" w:rsidRDefault="00950566" w:rsidP="00950566">
      <w:pPr>
        <w:spacing w:after="0" w:line="240" w:lineRule="auto"/>
        <w:textAlignment w:val="top"/>
        <w:rPr>
          <w:rFonts w:ascii="Arial" w:eastAsia="Times New Roman" w:hAnsi="Arial" w:cs="Arial"/>
          <w:color w:val="000000"/>
          <w:sz w:val="18"/>
          <w:szCs w:val="18"/>
        </w:rPr>
      </w:pPr>
    </w:p>
    <w:p w:rsidR="00950566" w:rsidRPr="00950566" w:rsidRDefault="00950566" w:rsidP="00950566">
      <w:pPr>
        <w:spacing w:after="0" w:line="240" w:lineRule="auto"/>
        <w:textAlignment w:val="top"/>
        <w:rPr>
          <w:rFonts w:ascii="Arial" w:eastAsia="Times New Roman" w:hAnsi="Arial" w:cs="Arial"/>
          <w:color w:val="000000"/>
          <w:sz w:val="18"/>
          <w:szCs w:val="18"/>
        </w:rPr>
      </w:pPr>
      <w:r w:rsidRPr="00950566">
        <w:rPr>
          <w:rFonts w:ascii="Arial" w:eastAsia="Times New Roman" w:hAnsi="Arial" w:cs="Arial"/>
          <w:color w:val="000000"/>
          <w:sz w:val="18"/>
          <w:szCs w:val="18"/>
        </w:rPr>
        <w:br/>
      </w:r>
      <w:r w:rsidRPr="00950566">
        <w:rPr>
          <w:rFonts w:ascii="Arial" w:eastAsia="Times New Roman" w:hAnsi="Arial" w:cs="Arial"/>
          <w:b/>
          <w:bCs/>
          <w:color w:val="000000"/>
          <w:sz w:val="32"/>
          <w:szCs w:val="32"/>
        </w:rPr>
        <w:t>Antimicrobial Stewardship Program</w:t>
      </w:r>
      <w:r w:rsidRPr="00950566">
        <w:rPr>
          <w:rFonts w:ascii="Arial" w:eastAsia="Times New Roman" w:hAnsi="Arial" w:cs="Arial"/>
          <w:color w:val="000000"/>
          <w:sz w:val="18"/>
          <w:szCs w:val="18"/>
        </w:rPr>
        <w:t xml:space="preserve"> </w:t>
      </w:r>
    </w:p>
    <w:p w:rsidR="00950566" w:rsidRPr="00950566" w:rsidRDefault="00950566" w:rsidP="00950566">
      <w:pPr>
        <w:spacing w:after="0" w:line="240" w:lineRule="auto"/>
        <w:textAlignment w:val="top"/>
        <w:rPr>
          <w:rFonts w:ascii="Arial" w:eastAsia="Times New Roman" w:hAnsi="Arial" w:cs="Arial"/>
          <w:color w:val="000000"/>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181"/>
        <w:gridCol w:w="36"/>
      </w:tblGrid>
      <w:tr w:rsidR="00623E6C" w:rsidRPr="00950566" w:rsidTr="00623E6C">
        <w:trPr>
          <w:gridAfter w:val="1"/>
        </w:trPr>
        <w:tc>
          <w:tcPr>
            <w:tcW w:w="0" w:type="auto"/>
            <w:tcMar>
              <w:top w:w="0" w:type="dxa"/>
              <w:left w:w="0" w:type="dxa"/>
              <w:bottom w:w="60" w:type="dxa"/>
              <w:right w:w="300" w:type="dxa"/>
            </w:tcMar>
            <w:vAlign w:val="center"/>
            <w:hideMark/>
          </w:tcPr>
          <w:p w:rsidR="00623E6C" w:rsidRPr="00950566" w:rsidRDefault="00623E6C" w:rsidP="00623E6C">
            <w:pPr>
              <w:spacing w:before="240" w:after="60" w:line="240" w:lineRule="auto"/>
              <w:rPr>
                <w:rFonts w:ascii="Arial" w:eastAsia="Times New Roman" w:hAnsi="Arial" w:cs="Arial"/>
                <w:bCs/>
                <w:color w:val="000000"/>
                <w:sz w:val="24"/>
                <w:szCs w:val="24"/>
              </w:rPr>
            </w:pPr>
            <w:r w:rsidRPr="00950566">
              <w:rPr>
                <w:rFonts w:ascii="Arial" w:eastAsia="Times New Roman" w:hAnsi="Arial" w:cs="Arial"/>
                <w:b/>
                <w:bCs/>
                <w:color w:val="000000"/>
                <w:sz w:val="24"/>
                <w:szCs w:val="24"/>
              </w:rPr>
              <w:t xml:space="preserve">Division: </w:t>
            </w:r>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Medical Director</w:t>
            </w:r>
          </w:p>
        </w:tc>
      </w:tr>
      <w:tr w:rsidR="00950566" w:rsidRPr="00950566" w:rsidTr="00623E6C">
        <w:tc>
          <w:tcPr>
            <w:tcW w:w="0" w:type="auto"/>
            <w:tcMar>
              <w:top w:w="0" w:type="dxa"/>
              <w:left w:w="0" w:type="dxa"/>
              <w:bottom w:w="60" w:type="dxa"/>
              <w:right w:w="300" w:type="dxa"/>
            </w:tcMar>
            <w:vAlign w:val="center"/>
            <w:hideMark/>
          </w:tcPr>
          <w:p w:rsidR="00950566" w:rsidRPr="00950566" w:rsidRDefault="00950566" w:rsidP="00623E6C">
            <w:pPr>
              <w:spacing w:before="240" w:after="60" w:line="240" w:lineRule="auto"/>
              <w:rPr>
                <w:rFonts w:ascii="Arial" w:eastAsia="Times New Roman" w:hAnsi="Arial" w:cs="Arial"/>
                <w:b/>
                <w:bCs/>
                <w:color w:val="000000"/>
                <w:sz w:val="24"/>
                <w:szCs w:val="24"/>
              </w:rPr>
            </w:pPr>
            <w:r w:rsidRPr="00950566">
              <w:rPr>
                <w:rFonts w:ascii="Arial" w:eastAsia="Times New Roman" w:hAnsi="Arial" w:cs="Arial"/>
                <w:b/>
                <w:bCs/>
                <w:color w:val="000000"/>
                <w:sz w:val="24"/>
                <w:szCs w:val="24"/>
              </w:rPr>
              <w:t xml:space="preserve">Effective Date: </w:t>
            </w:r>
          </w:p>
        </w:tc>
        <w:tc>
          <w:tcPr>
            <w:tcW w:w="0" w:type="auto"/>
            <w:vAlign w:val="center"/>
            <w:hideMark/>
          </w:tcPr>
          <w:p w:rsidR="00950566" w:rsidRPr="00950566" w:rsidRDefault="00950566" w:rsidP="00623E6C">
            <w:pPr>
              <w:spacing w:after="0" w:line="240" w:lineRule="auto"/>
              <w:rPr>
                <w:rFonts w:ascii="Arial" w:eastAsia="Times New Roman" w:hAnsi="Arial" w:cs="Arial"/>
                <w:color w:val="000000"/>
                <w:sz w:val="24"/>
                <w:szCs w:val="24"/>
              </w:rPr>
            </w:pPr>
          </w:p>
        </w:tc>
      </w:tr>
      <w:tr w:rsidR="00950566" w:rsidRPr="00950566" w:rsidTr="00623E6C">
        <w:tc>
          <w:tcPr>
            <w:tcW w:w="0" w:type="auto"/>
            <w:tcMar>
              <w:top w:w="0" w:type="dxa"/>
              <w:left w:w="0" w:type="dxa"/>
              <w:bottom w:w="60" w:type="dxa"/>
              <w:right w:w="300" w:type="dxa"/>
            </w:tcMar>
            <w:vAlign w:val="center"/>
            <w:hideMark/>
          </w:tcPr>
          <w:p w:rsidR="00950566" w:rsidRPr="00950566" w:rsidRDefault="00950566" w:rsidP="00623E6C">
            <w:pPr>
              <w:spacing w:before="240" w:after="60" w:line="240" w:lineRule="auto"/>
              <w:rPr>
                <w:rFonts w:ascii="Arial" w:eastAsia="Times New Roman" w:hAnsi="Arial" w:cs="Arial"/>
                <w:b/>
                <w:bCs/>
                <w:color w:val="000000"/>
                <w:sz w:val="24"/>
                <w:szCs w:val="24"/>
              </w:rPr>
            </w:pPr>
            <w:r w:rsidRPr="00950566">
              <w:rPr>
                <w:rFonts w:ascii="Arial" w:eastAsia="Times New Roman" w:hAnsi="Arial" w:cs="Arial"/>
                <w:b/>
                <w:bCs/>
                <w:color w:val="000000"/>
                <w:sz w:val="24"/>
                <w:szCs w:val="24"/>
              </w:rPr>
              <w:t xml:space="preserve">Review Date: </w:t>
            </w:r>
          </w:p>
        </w:tc>
        <w:tc>
          <w:tcPr>
            <w:tcW w:w="0" w:type="auto"/>
            <w:vAlign w:val="center"/>
            <w:hideMark/>
          </w:tcPr>
          <w:p w:rsidR="00950566" w:rsidRPr="00950566" w:rsidRDefault="00950566" w:rsidP="00623E6C">
            <w:pPr>
              <w:spacing w:after="0" w:line="240" w:lineRule="auto"/>
              <w:rPr>
                <w:rFonts w:ascii="Arial" w:eastAsia="Times New Roman" w:hAnsi="Arial" w:cs="Arial"/>
                <w:color w:val="000000"/>
                <w:sz w:val="24"/>
                <w:szCs w:val="24"/>
              </w:rPr>
            </w:pPr>
          </w:p>
        </w:tc>
      </w:tr>
      <w:tr w:rsidR="00950566" w:rsidRPr="00950566" w:rsidTr="00623E6C">
        <w:tc>
          <w:tcPr>
            <w:tcW w:w="0" w:type="auto"/>
            <w:tcMar>
              <w:top w:w="0" w:type="dxa"/>
              <w:left w:w="0" w:type="dxa"/>
              <w:bottom w:w="60" w:type="dxa"/>
              <w:right w:w="300" w:type="dxa"/>
            </w:tcMar>
            <w:vAlign w:val="center"/>
            <w:hideMark/>
          </w:tcPr>
          <w:p w:rsidR="00950566" w:rsidRPr="00950566" w:rsidRDefault="00950566" w:rsidP="00623E6C">
            <w:pPr>
              <w:spacing w:before="240" w:after="60" w:line="240" w:lineRule="auto"/>
              <w:rPr>
                <w:rFonts w:ascii="Arial" w:eastAsia="Times New Roman" w:hAnsi="Arial" w:cs="Arial"/>
                <w:b/>
                <w:bCs/>
                <w:color w:val="000000"/>
                <w:sz w:val="24"/>
                <w:szCs w:val="24"/>
              </w:rPr>
            </w:pPr>
            <w:r w:rsidRPr="00950566">
              <w:rPr>
                <w:rFonts w:ascii="Arial" w:eastAsia="Times New Roman" w:hAnsi="Arial" w:cs="Arial"/>
                <w:b/>
                <w:bCs/>
                <w:color w:val="000000"/>
                <w:sz w:val="24"/>
                <w:szCs w:val="24"/>
              </w:rPr>
              <w:t xml:space="preserve">Reviewer: </w:t>
            </w:r>
          </w:p>
        </w:tc>
        <w:tc>
          <w:tcPr>
            <w:tcW w:w="0" w:type="auto"/>
            <w:vAlign w:val="center"/>
            <w:hideMark/>
          </w:tcPr>
          <w:p w:rsidR="00950566" w:rsidRPr="00950566" w:rsidRDefault="00950566" w:rsidP="00623E6C">
            <w:pPr>
              <w:spacing w:after="0" w:line="240" w:lineRule="auto"/>
              <w:rPr>
                <w:rFonts w:ascii="Arial" w:eastAsia="Times New Roman" w:hAnsi="Arial" w:cs="Arial"/>
                <w:color w:val="000000"/>
                <w:sz w:val="24"/>
                <w:szCs w:val="24"/>
              </w:rPr>
            </w:pPr>
          </w:p>
        </w:tc>
      </w:tr>
    </w:tbl>
    <w:p w:rsidR="00950566" w:rsidRDefault="00623E6C" w:rsidP="00950566">
      <w:pPr>
        <w:spacing w:after="0"/>
        <w:textAlignment w:val="top"/>
        <w:rPr>
          <w:rFonts w:ascii="Arial" w:eastAsia="Times New Roman" w:hAnsi="Arial" w:cs="Arial"/>
          <w:b/>
          <w:bCs/>
          <w:color w:val="000000"/>
          <w:sz w:val="23"/>
          <w:szCs w:val="23"/>
        </w:rPr>
      </w:pPr>
      <w:r>
        <w:rPr>
          <w:rFonts w:ascii="Arial" w:eastAsia="Times New Roman" w:hAnsi="Arial" w:cs="Arial"/>
          <w:b/>
          <w:bCs/>
          <w:color w:val="000000"/>
          <w:sz w:val="23"/>
          <w:szCs w:val="23"/>
        </w:rPr>
        <w:br w:type="textWrapping" w:clear="all"/>
      </w:r>
    </w:p>
    <w:p w:rsidR="00950566" w:rsidRPr="00950566" w:rsidRDefault="00950566" w:rsidP="00950566">
      <w:pPr>
        <w:spacing w:after="0"/>
        <w:textAlignment w:val="top"/>
        <w:rPr>
          <w:rFonts w:ascii="Arial" w:eastAsia="Times New Roman" w:hAnsi="Arial" w:cs="Arial"/>
          <w:color w:val="000000"/>
          <w:sz w:val="18"/>
          <w:szCs w:val="18"/>
        </w:rPr>
      </w:pPr>
      <w:r w:rsidRPr="00950566">
        <w:rPr>
          <w:rFonts w:ascii="Arial" w:eastAsia="Times New Roman" w:hAnsi="Arial" w:cs="Arial"/>
          <w:b/>
          <w:bCs/>
          <w:color w:val="000000"/>
          <w:sz w:val="23"/>
          <w:szCs w:val="23"/>
        </w:rPr>
        <w:t>POLICY PURPOSE:</w:t>
      </w:r>
      <w:r w:rsidRPr="00950566">
        <w:rPr>
          <w:rFonts w:ascii="Arial" w:eastAsia="Times New Roman" w:hAnsi="Arial" w:cs="Arial"/>
          <w:color w:val="000000"/>
          <w:sz w:val="18"/>
          <w:szCs w:val="18"/>
        </w:rPr>
        <w:t xml:space="preserve"> </w:t>
      </w:r>
    </w:p>
    <w:p w:rsidR="00950566" w:rsidRPr="00950566" w:rsidRDefault="00950566" w:rsidP="00950566">
      <w:pPr>
        <w:spacing w:after="0"/>
        <w:textAlignment w:val="top"/>
        <w:rPr>
          <w:rFonts w:ascii="Arial" w:eastAsia="Times New Roman" w:hAnsi="Arial" w:cs="Arial"/>
          <w:vanish/>
          <w:color w:val="000000"/>
        </w:rPr>
      </w:pPr>
      <w:r w:rsidRPr="00950566">
        <w:rPr>
          <w:rFonts w:ascii="Arial" w:eastAsia="Times New Roman" w:hAnsi="Arial" w:cs="Arial"/>
          <w:vanish/>
          <w:color w:val="000000"/>
        </w:rPr>
        <w:t>Policy Purpose</w:t>
      </w:r>
    </w:p>
    <w:p w:rsidR="00950566" w:rsidRDefault="00950566" w:rsidP="00950566">
      <w:pPr>
        <w:spacing w:after="60"/>
        <w:textAlignment w:val="top"/>
        <w:rPr>
          <w:rFonts w:ascii="Arial" w:eastAsia="Times New Roman" w:hAnsi="Arial" w:cs="Arial"/>
          <w:color w:val="000000"/>
        </w:rPr>
      </w:pPr>
      <w:r w:rsidRPr="00950566">
        <w:rPr>
          <w:rFonts w:ascii="Arial" w:eastAsia="Times New Roman" w:hAnsi="Arial" w:cs="Arial"/>
          <w:color w:val="000000"/>
        </w:rPr>
        <w:t>​This policy will provide a framework and scope of practice for the hospital antimicrobial stewardship program (ASP).</w:t>
      </w:r>
    </w:p>
    <w:p w:rsidR="00950566" w:rsidRPr="00950566" w:rsidRDefault="00950566" w:rsidP="00950566">
      <w:pPr>
        <w:spacing w:after="60"/>
        <w:textAlignment w:val="top"/>
        <w:rPr>
          <w:rFonts w:ascii="Arial" w:eastAsia="Times New Roman" w:hAnsi="Arial" w:cs="Arial"/>
          <w:color w:val="000000"/>
        </w:rPr>
      </w:pPr>
    </w:p>
    <w:p w:rsidR="00950566" w:rsidRPr="00950566" w:rsidRDefault="00950566" w:rsidP="00950566">
      <w:pPr>
        <w:spacing w:after="0"/>
        <w:textAlignment w:val="top"/>
        <w:rPr>
          <w:rFonts w:ascii="Arial" w:eastAsia="Times New Roman" w:hAnsi="Arial" w:cs="Arial"/>
          <w:color w:val="000000"/>
          <w:sz w:val="18"/>
          <w:szCs w:val="18"/>
        </w:rPr>
      </w:pPr>
      <w:r w:rsidRPr="00950566">
        <w:rPr>
          <w:rFonts w:ascii="Arial" w:eastAsia="Times New Roman" w:hAnsi="Arial" w:cs="Arial"/>
          <w:b/>
          <w:bCs/>
          <w:color w:val="000000"/>
          <w:sz w:val="23"/>
          <w:szCs w:val="23"/>
        </w:rPr>
        <w:t>POLICY:</w:t>
      </w:r>
      <w:r w:rsidRPr="00950566">
        <w:rPr>
          <w:rFonts w:ascii="Arial" w:eastAsia="Times New Roman" w:hAnsi="Arial" w:cs="Arial"/>
          <w:color w:val="000000"/>
          <w:sz w:val="18"/>
          <w:szCs w:val="18"/>
        </w:rPr>
        <w:t xml:space="preserve"> </w:t>
      </w:r>
    </w:p>
    <w:p w:rsidR="00950566" w:rsidRPr="00950566" w:rsidRDefault="00950566" w:rsidP="00950566">
      <w:pPr>
        <w:spacing w:after="0"/>
        <w:textAlignment w:val="top"/>
        <w:rPr>
          <w:rFonts w:ascii="Arial" w:eastAsia="Times New Roman" w:hAnsi="Arial" w:cs="Arial"/>
          <w:vanish/>
          <w:color w:val="000000"/>
        </w:rPr>
      </w:pPr>
      <w:r w:rsidRPr="00950566">
        <w:rPr>
          <w:rFonts w:ascii="Arial" w:eastAsia="Times New Roman" w:hAnsi="Arial" w:cs="Arial"/>
          <w:vanish/>
          <w:color w:val="000000"/>
        </w:rPr>
        <w:t>Policy Detail</w:t>
      </w:r>
    </w:p>
    <w:p w:rsidR="00950566" w:rsidRPr="00950566" w:rsidRDefault="00950566" w:rsidP="00950566">
      <w:pPr>
        <w:spacing w:after="0"/>
        <w:textAlignment w:val="top"/>
        <w:rPr>
          <w:rFonts w:ascii="Arial" w:eastAsia="Times New Roman" w:hAnsi="Arial" w:cs="Arial"/>
          <w:color w:val="000000"/>
        </w:rPr>
      </w:pPr>
      <w:r w:rsidRPr="00950566">
        <w:rPr>
          <w:rFonts w:ascii="Arial" w:eastAsia="Times New Roman" w:hAnsi="Arial" w:cs="Arial"/>
          <w:color w:val="000000"/>
        </w:rPr>
        <w:t xml:space="preserve">Antimicrobial stewardship encompasses a broad array of interventions including antimicrobial use surveillance, monitoring of antimicrobial cost, adverse events, education, design of health information technology (HIT) tools and participation on the Pharmacy and Therapeutics Committee. These efforts are aimed at maximizing the utility and safe use of antimicrobials, minimizing inappropriate and unnecessary use, and preventing the development of antimicrobial drug resistance. </w:t>
      </w:r>
    </w:p>
    <w:p w:rsidR="00950566" w:rsidRPr="00950566" w:rsidRDefault="00950566" w:rsidP="00950566">
      <w:pPr>
        <w:spacing w:after="0"/>
        <w:textAlignment w:val="top"/>
        <w:rPr>
          <w:rFonts w:ascii="Arial" w:eastAsia="Times New Roman" w:hAnsi="Arial" w:cs="Arial"/>
          <w:color w:val="000000"/>
        </w:rPr>
      </w:pPr>
      <w:r w:rsidRPr="00950566">
        <w:rPr>
          <w:rFonts w:ascii="Arial" w:eastAsia="Times New Roman" w:hAnsi="Arial" w:cs="Arial"/>
          <w:color w:val="000000"/>
        </w:rPr>
        <w:t> </w:t>
      </w:r>
    </w:p>
    <w:p w:rsidR="00950566" w:rsidRPr="00950566" w:rsidRDefault="00950566" w:rsidP="00950566">
      <w:pPr>
        <w:spacing w:after="0"/>
        <w:textAlignment w:val="top"/>
        <w:rPr>
          <w:rFonts w:ascii="Arial" w:eastAsia="Times New Roman" w:hAnsi="Arial" w:cs="Arial"/>
          <w:color w:val="000000"/>
        </w:rPr>
      </w:pPr>
      <w:r w:rsidRPr="00950566">
        <w:rPr>
          <w:rFonts w:ascii="Arial" w:eastAsia="Times New Roman" w:hAnsi="Arial" w:cs="Arial"/>
          <w:color w:val="000000"/>
        </w:rPr>
        <w:t>The key and necessary elements of the program include:</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participation of a physician with accountability and training in infectious diseases and/or antimicrobial stewardship with time allotted for work in this area</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participation of a pharmacist with accountability and training in infectious diseases and/or antimicrobial stewardship with time allotted for work in this area</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team actively engages in outreach, education and support of clinical pharmacists, trainees, nurses, physicians and other members of the care teams in the use of antimicrobials</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team utilizes standardized surveillance methods to monitor antimicrobial drug use and has a method for providing feedback to teams and individuals involved in the prescription and administration of these drugs</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ASP is an active participant in quality improvement initiatives and education around antimicrobial use</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team is an active participant in the Pharmacy and Therapeutics Committee</w:t>
      </w:r>
    </w:p>
    <w:p w:rsidR="00950566" w:rsidRPr="00950566" w:rsidRDefault="00950566" w:rsidP="00950566">
      <w:pPr>
        <w:numPr>
          <w:ilvl w:val="0"/>
          <w:numId w:val="1"/>
        </w:numPr>
        <w:spacing w:before="100" w:beforeAutospacing="1" w:after="100" w:afterAutospacing="1" w:line="288" w:lineRule="auto"/>
        <w:ind w:left="555" w:right="75"/>
        <w:textAlignment w:val="top"/>
        <w:rPr>
          <w:rFonts w:ascii="Arial" w:eastAsia="Times New Roman" w:hAnsi="Arial" w:cs="Arial"/>
          <w:color w:val="000000"/>
        </w:rPr>
      </w:pPr>
      <w:r w:rsidRPr="00950566">
        <w:rPr>
          <w:rFonts w:ascii="Arial" w:eastAsia="Times New Roman" w:hAnsi="Arial" w:cs="Arial"/>
          <w:color w:val="000000"/>
        </w:rPr>
        <w:t>The ASP is actively involved in the development of order sets that support the appropriate and/or best use of antimicrobials for specific conditions.</w:t>
      </w:r>
    </w:p>
    <w:p w:rsidR="00950566" w:rsidRDefault="00950566" w:rsidP="00950566">
      <w:pPr>
        <w:spacing w:after="60"/>
        <w:textAlignment w:val="top"/>
        <w:rPr>
          <w:rFonts w:ascii="Arial" w:eastAsia="Times New Roman" w:hAnsi="Arial" w:cs="Arial"/>
          <w:color w:val="000000"/>
        </w:rPr>
      </w:pPr>
      <w:r w:rsidRPr="00950566">
        <w:rPr>
          <w:rFonts w:ascii="Arial" w:eastAsia="Times New Roman" w:hAnsi="Arial" w:cs="Arial"/>
          <w:color w:val="000000"/>
        </w:rPr>
        <w:lastRenderedPageBreak/>
        <w:t>As part of the Infection Control team, the ASP reports to the Medical Director of Infection Control and to the HMC Infection Control Committee.</w:t>
      </w:r>
    </w:p>
    <w:p w:rsidR="00950566" w:rsidRPr="00950566" w:rsidRDefault="00950566" w:rsidP="00950566">
      <w:pPr>
        <w:spacing w:after="60"/>
        <w:textAlignment w:val="top"/>
        <w:rPr>
          <w:rFonts w:ascii="Arial" w:eastAsia="Times New Roman" w:hAnsi="Arial" w:cs="Arial"/>
          <w:color w:val="000000"/>
        </w:rPr>
      </w:pPr>
    </w:p>
    <w:p w:rsidR="00950566" w:rsidRPr="00950566" w:rsidRDefault="00950566" w:rsidP="00950566">
      <w:pPr>
        <w:spacing w:after="0"/>
        <w:textAlignment w:val="top"/>
        <w:rPr>
          <w:rFonts w:ascii="Arial" w:eastAsia="Times New Roman" w:hAnsi="Arial" w:cs="Arial"/>
          <w:color w:val="000000"/>
          <w:sz w:val="18"/>
          <w:szCs w:val="18"/>
        </w:rPr>
      </w:pPr>
      <w:r w:rsidRPr="00950566">
        <w:rPr>
          <w:rFonts w:ascii="Arial" w:eastAsia="Times New Roman" w:hAnsi="Arial" w:cs="Arial"/>
          <w:b/>
          <w:bCs/>
          <w:color w:val="000000"/>
          <w:sz w:val="23"/>
          <w:szCs w:val="23"/>
        </w:rPr>
        <w:t>CROSS REFERENCE:</w:t>
      </w:r>
      <w:r w:rsidRPr="00950566">
        <w:rPr>
          <w:rFonts w:ascii="Arial" w:eastAsia="Times New Roman" w:hAnsi="Arial" w:cs="Arial"/>
          <w:color w:val="000000"/>
          <w:sz w:val="18"/>
          <w:szCs w:val="18"/>
        </w:rPr>
        <w:t xml:space="preserve"> </w:t>
      </w:r>
    </w:p>
    <w:p w:rsidR="00950566" w:rsidRPr="00950566" w:rsidRDefault="00950566" w:rsidP="00950566">
      <w:pPr>
        <w:spacing w:after="0"/>
        <w:textAlignment w:val="top"/>
        <w:rPr>
          <w:rFonts w:ascii="Arial" w:eastAsia="Times New Roman" w:hAnsi="Arial" w:cs="Arial"/>
          <w:vanish/>
          <w:color w:val="000000"/>
        </w:rPr>
      </w:pPr>
      <w:r w:rsidRPr="00950566">
        <w:rPr>
          <w:rFonts w:ascii="Arial" w:eastAsia="Times New Roman" w:hAnsi="Arial" w:cs="Arial"/>
          <w:vanish/>
          <w:color w:val="000000"/>
        </w:rPr>
        <w:t>Cross Reference</w:t>
      </w:r>
    </w:p>
    <w:p w:rsidR="00950566" w:rsidRPr="00950566" w:rsidRDefault="00950566" w:rsidP="00950566">
      <w:pPr>
        <w:spacing w:after="0"/>
        <w:textAlignment w:val="top"/>
        <w:rPr>
          <w:rFonts w:ascii="Arial" w:eastAsia="Times New Roman" w:hAnsi="Arial" w:cs="Arial"/>
          <w:color w:val="000000"/>
        </w:rPr>
      </w:pPr>
      <w:r w:rsidRPr="00950566">
        <w:rPr>
          <w:rFonts w:ascii="Arial" w:eastAsia="Times New Roman" w:hAnsi="Arial" w:cs="Arial"/>
          <w:color w:val="000000"/>
        </w:rPr>
        <w:t>​</w:t>
      </w:r>
      <w:proofErr w:type="gramStart"/>
      <w:r w:rsidRPr="00950566">
        <w:rPr>
          <w:rFonts w:ascii="Arial" w:eastAsia="Times New Roman" w:hAnsi="Arial" w:cs="Arial"/>
          <w:color w:val="000000"/>
          <w:sz w:val="20"/>
          <w:szCs w:val="20"/>
        </w:rPr>
        <w:t>Policy Statement on Antimicrobial Stewardship by the Society for Healthcare Epidemiology of America (SHEA), the Infectious Diseases Society of America (IDSA), and the Pediatric Infectious Diseases Society (PIDS).</w:t>
      </w:r>
      <w:proofErr w:type="gramEnd"/>
      <w:r w:rsidRPr="00950566">
        <w:rPr>
          <w:rFonts w:ascii="Arial" w:eastAsia="Times New Roman" w:hAnsi="Arial" w:cs="Arial"/>
          <w:color w:val="000000"/>
          <w:sz w:val="20"/>
          <w:szCs w:val="20"/>
        </w:rPr>
        <w:t xml:space="preserve"> Infection Control and Hospital Epidemiology, Vol. 33, No. 4, April 2012. (http://www.jstor.org/stable/10.1086/665010)</w:t>
      </w:r>
      <w:r w:rsidRPr="00950566">
        <w:rPr>
          <w:rFonts w:ascii="Arial" w:eastAsia="Times New Roman" w:hAnsi="Arial" w:cs="Arial"/>
          <w:color w:val="000000"/>
        </w:rPr>
        <w:t xml:space="preserve"> </w:t>
      </w:r>
    </w:p>
    <w:p w:rsidR="00950566" w:rsidRPr="00950566" w:rsidRDefault="00950566" w:rsidP="00950566">
      <w:pPr>
        <w:spacing w:after="0"/>
        <w:textAlignment w:val="top"/>
        <w:rPr>
          <w:rFonts w:ascii="Arial" w:eastAsia="Times New Roman" w:hAnsi="Arial" w:cs="Arial"/>
          <w:color w:val="000000"/>
        </w:rPr>
      </w:pPr>
      <w:r w:rsidRPr="00950566">
        <w:rPr>
          <w:rFonts w:ascii="Arial" w:eastAsia="Times New Roman" w:hAnsi="Arial" w:cs="Arial"/>
          <w:color w:val="000000"/>
          <w:sz w:val="20"/>
          <w:szCs w:val="20"/>
        </w:rPr>
        <w:t> </w:t>
      </w:r>
    </w:p>
    <w:p w:rsidR="00950566" w:rsidRDefault="00950566" w:rsidP="00950566">
      <w:pPr>
        <w:spacing w:after="60"/>
        <w:textAlignment w:val="top"/>
        <w:rPr>
          <w:rFonts w:ascii="Arial" w:eastAsia="Times New Roman" w:hAnsi="Arial" w:cs="Arial"/>
          <w:color w:val="000000"/>
          <w:sz w:val="20"/>
          <w:szCs w:val="20"/>
        </w:rPr>
      </w:pPr>
      <w:proofErr w:type="gramStart"/>
      <w:r w:rsidRPr="00950566">
        <w:rPr>
          <w:rFonts w:ascii="Arial" w:eastAsia="Times New Roman" w:hAnsi="Arial" w:cs="Arial"/>
          <w:color w:val="000000"/>
          <w:sz w:val="20"/>
          <w:szCs w:val="20"/>
        </w:rPr>
        <w:t>IDSA and SHEA Guidelines for Developing an Institutional Program to Enhance Antimicrobial Stewardship.</w:t>
      </w:r>
      <w:proofErr w:type="gramEnd"/>
      <w:r w:rsidRPr="00950566">
        <w:rPr>
          <w:rFonts w:ascii="Arial" w:eastAsia="Times New Roman" w:hAnsi="Arial" w:cs="Arial"/>
          <w:color w:val="000000"/>
          <w:sz w:val="20"/>
          <w:szCs w:val="20"/>
        </w:rPr>
        <w:t xml:space="preserve"> Clinical Infectious Diseases, 2007:44. (</w:t>
      </w:r>
      <w:hyperlink r:id="rId6" w:history="1">
        <w:r w:rsidRPr="002A60D1">
          <w:rPr>
            <w:rStyle w:val="Hyperlink"/>
            <w:rFonts w:ascii="Arial" w:eastAsia="Times New Roman" w:hAnsi="Arial" w:cs="Arial"/>
            <w:sz w:val="20"/>
            <w:szCs w:val="20"/>
          </w:rPr>
          <w:t>http://cid.oxfordjournals.org/content/44/2/159.full.pdf+html</w:t>
        </w:r>
      </w:hyperlink>
      <w:r w:rsidRPr="00950566">
        <w:rPr>
          <w:rFonts w:ascii="Arial" w:eastAsia="Times New Roman" w:hAnsi="Arial" w:cs="Arial"/>
          <w:color w:val="000000"/>
          <w:sz w:val="20"/>
          <w:szCs w:val="20"/>
        </w:rPr>
        <w:t>)</w:t>
      </w:r>
    </w:p>
    <w:p w:rsidR="00950566" w:rsidRPr="00950566" w:rsidRDefault="00950566" w:rsidP="00950566">
      <w:pPr>
        <w:spacing w:after="60"/>
        <w:textAlignment w:val="top"/>
        <w:rPr>
          <w:rFonts w:ascii="Arial" w:eastAsia="Times New Roman" w:hAnsi="Arial" w:cs="Arial"/>
          <w:color w:val="000000"/>
        </w:rPr>
      </w:pPr>
    </w:p>
    <w:p w:rsidR="00950566" w:rsidRPr="00950566" w:rsidRDefault="00950566" w:rsidP="00950566">
      <w:pPr>
        <w:spacing w:after="0"/>
        <w:textAlignment w:val="top"/>
        <w:rPr>
          <w:rFonts w:ascii="Arial" w:eastAsia="Times New Roman" w:hAnsi="Arial" w:cs="Arial"/>
          <w:color w:val="000000"/>
          <w:sz w:val="18"/>
          <w:szCs w:val="18"/>
        </w:rPr>
      </w:pPr>
      <w:r w:rsidRPr="00950566">
        <w:rPr>
          <w:rFonts w:ascii="Arial" w:eastAsia="Times New Roman" w:hAnsi="Arial" w:cs="Arial"/>
          <w:b/>
          <w:bCs/>
          <w:color w:val="000000"/>
          <w:sz w:val="23"/>
          <w:szCs w:val="23"/>
        </w:rPr>
        <w:t>ATTACHMENT:</w:t>
      </w:r>
      <w:r w:rsidRPr="00950566">
        <w:rPr>
          <w:rFonts w:ascii="Arial" w:eastAsia="Times New Roman" w:hAnsi="Arial" w:cs="Arial"/>
          <w:color w:val="000000"/>
          <w:sz w:val="18"/>
          <w:szCs w:val="18"/>
        </w:rPr>
        <w:t xml:space="preserve"> </w:t>
      </w:r>
    </w:p>
    <w:p w:rsidR="00950566" w:rsidRPr="00950566" w:rsidRDefault="00950566" w:rsidP="00950566">
      <w:pPr>
        <w:spacing w:after="0"/>
        <w:textAlignment w:val="top"/>
        <w:rPr>
          <w:rFonts w:ascii="Arial" w:eastAsia="Times New Roman" w:hAnsi="Arial" w:cs="Arial"/>
          <w:vanish/>
          <w:color w:val="000000"/>
        </w:rPr>
      </w:pPr>
      <w:r w:rsidRPr="00950566">
        <w:rPr>
          <w:rFonts w:ascii="Arial" w:eastAsia="Times New Roman" w:hAnsi="Arial" w:cs="Arial"/>
          <w:vanish/>
          <w:color w:val="000000"/>
        </w:rPr>
        <w:t>Attachment</w:t>
      </w:r>
    </w:p>
    <w:p w:rsidR="00950566" w:rsidRDefault="00950566" w:rsidP="00950566">
      <w:pPr>
        <w:spacing w:after="60"/>
        <w:textAlignment w:val="top"/>
        <w:rPr>
          <w:rFonts w:ascii="Arial" w:eastAsia="Times New Roman" w:hAnsi="Arial" w:cs="Arial"/>
          <w:color w:val="000000"/>
        </w:rPr>
      </w:pPr>
      <w:r w:rsidRPr="00950566">
        <w:rPr>
          <w:rFonts w:ascii="Arial" w:eastAsia="Times New Roman" w:hAnsi="Arial" w:cs="Arial"/>
          <w:color w:val="000000"/>
        </w:rPr>
        <w:t>​None</w:t>
      </w:r>
    </w:p>
    <w:p w:rsidR="00950566" w:rsidRPr="00950566" w:rsidRDefault="00950566" w:rsidP="00950566">
      <w:pPr>
        <w:spacing w:after="60"/>
        <w:textAlignment w:val="top"/>
        <w:rPr>
          <w:rFonts w:ascii="Arial" w:eastAsia="Times New Roman" w:hAnsi="Arial" w:cs="Arial"/>
          <w:color w:val="000000"/>
        </w:rPr>
      </w:pPr>
    </w:p>
    <w:p w:rsidR="00950566" w:rsidRPr="00950566" w:rsidRDefault="00950566" w:rsidP="00950566">
      <w:pPr>
        <w:spacing w:after="0"/>
        <w:textAlignment w:val="top"/>
        <w:rPr>
          <w:rFonts w:ascii="Arial" w:eastAsia="Times New Roman" w:hAnsi="Arial" w:cs="Arial"/>
          <w:color w:val="000000"/>
          <w:sz w:val="18"/>
          <w:szCs w:val="18"/>
        </w:rPr>
      </w:pPr>
      <w:r w:rsidRPr="00950566">
        <w:rPr>
          <w:rFonts w:ascii="Arial" w:eastAsia="Times New Roman" w:hAnsi="Arial" w:cs="Arial"/>
          <w:b/>
          <w:bCs/>
          <w:color w:val="000000"/>
          <w:sz w:val="23"/>
          <w:szCs w:val="23"/>
        </w:rPr>
        <w:t>REVIEW/REVISION DATES:</w:t>
      </w:r>
      <w:r w:rsidRPr="00950566">
        <w:rPr>
          <w:rFonts w:ascii="Arial" w:eastAsia="Times New Roman" w:hAnsi="Arial" w:cs="Arial"/>
          <w:color w:val="000000"/>
          <w:sz w:val="18"/>
          <w:szCs w:val="18"/>
        </w:rPr>
        <w:t xml:space="preserve"> </w:t>
      </w:r>
    </w:p>
    <w:p w:rsidR="00950566" w:rsidRPr="00950566" w:rsidRDefault="00950566" w:rsidP="00950566">
      <w:pPr>
        <w:spacing w:after="60"/>
        <w:textAlignment w:val="top"/>
        <w:rPr>
          <w:rFonts w:ascii="Arial" w:eastAsia="Times New Roman" w:hAnsi="Arial" w:cs="Arial"/>
          <w:color w:val="000000"/>
        </w:rPr>
      </w:pPr>
    </w:p>
    <w:p w:rsidR="00950566" w:rsidRPr="00950566" w:rsidRDefault="00950566" w:rsidP="00950566">
      <w:pPr>
        <w:spacing w:after="0"/>
        <w:textAlignment w:val="top"/>
        <w:rPr>
          <w:rFonts w:ascii="Arial" w:eastAsia="Times New Roman" w:hAnsi="Arial" w:cs="Arial"/>
          <w:color w:val="000000"/>
          <w:sz w:val="18"/>
          <w:szCs w:val="18"/>
        </w:rPr>
      </w:pPr>
      <w:r w:rsidRPr="00950566">
        <w:rPr>
          <w:rFonts w:ascii="Arial" w:eastAsia="Times New Roman" w:hAnsi="Arial" w:cs="Arial"/>
          <w:b/>
          <w:bCs/>
          <w:color w:val="000000"/>
          <w:sz w:val="23"/>
          <w:szCs w:val="23"/>
        </w:rPr>
        <w:t>SIGNATURE:</w:t>
      </w:r>
      <w:r w:rsidRPr="00950566">
        <w:rPr>
          <w:rFonts w:ascii="Arial" w:eastAsia="Times New Roman" w:hAnsi="Arial" w:cs="Arial"/>
          <w:color w:val="000000"/>
          <w:sz w:val="18"/>
          <w:szCs w:val="18"/>
        </w:rPr>
        <w:t xml:space="preserve"> </w:t>
      </w:r>
    </w:p>
    <w:p w:rsidR="00950566" w:rsidRPr="00950566" w:rsidRDefault="00950566" w:rsidP="00950566">
      <w:pPr>
        <w:spacing w:after="0"/>
        <w:textAlignment w:val="top"/>
        <w:rPr>
          <w:rFonts w:ascii="Arial" w:eastAsia="Times New Roman" w:hAnsi="Arial" w:cs="Arial"/>
          <w:vanish/>
          <w:color w:val="000000"/>
        </w:rPr>
      </w:pPr>
      <w:r w:rsidRPr="00950566">
        <w:rPr>
          <w:rFonts w:ascii="Arial" w:eastAsia="Times New Roman" w:hAnsi="Arial" w:cs="Arial"/>
          <w:vanish/>
          <w:color w:val="000000"/>
        </w:rPr>
        <w:t>Policy Signatures</w:t>
      </w:r>
    </w:p>
    <w:p w:rsidR="00950566" w:rsidRPr="00950566" w:rsidRDefault="00950566" w:rsidP="00623E6C">
      <w:pPr>
        <w:spacing w:after="0"/>
        <w:textAlignment w:val="top"/>
        <w:rPr>
          <w:rFonts w:ascii="Arial" w:eastAsia="Times New Roman" w:hAnsi="Arial" w:cs="Arial"/>
          <w:color w:val="000000"/>
        </w:rPr>
      </w:pPr>
      <w:r w:rsidRPr="00950566">
        <w:rPr>
          <w:rFonts w:ascii="Arial" w:eastAsia="Times New Roman" w:hAnsi="Arial" w:cs="Arial"/>
          <w:color w:val="000000"/>
        </w:rPr>
        <w:t>​</w:t>
      </w:r>
      <w:bookmarkStart w:id="0" w:name="_GoBack"/>
      <w:bookmarkEnd w:id="0"/>
    </w:p>
    <w:p w:rsidR="0079338B" w:rsidRDefault="0079338B"/>
    <w:sectPr w:rsidR="0079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F350F"/>
    <w:multiLevelType w:val="multilevel"/>
    <w:tmpl w:val="5B3A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66"/>
    <w:rsid w:val="00623E6C"/>
    <w:rsid w:val="0079338B"/>
    <w:rsid w:val="0095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ytypeheader1">
    <w:name w:val="policytypeheader1"/>
    <w:basedOn w:val="DefaultParagraphFont"/>
    <w:rsid w:val="00950566"/>
    <w:rPr>
      <w:b/>
      <w:bCs/>
      <w:i w:val="0"/>
      <w:iCs w:val="0"/>
      <w:color w:val="000000"/>
      <w:sz w:val="32"/>
      <w:szCs w:val="32"/>
    </w:rPr>
  </w:style>
  <w:style w:type="character" w:customStyle="1" w:styleId="policysectiontitle1">
    <w:name w:val="policysectiontitle1"/>
    <w:basedOn w:val="DefaultParagraphFont"/>
    <w:rsid w:val="00950566"/>
    <w:rPr>
      <w:b/>
      <w:bCs/>
      <w:sz w:val="32"/>
      <w:szCs w:val="32"/>
    </w:rPr>
  </w:style>
  <w:style w:type="character" w:customStyle="1" w:styleId="policysectionheader1">
    <w:name w:val="policysectionheader1"/>
    <w:basedOn w:val="DefaultParagraphFont"/>
    <w:rsid w:val="00950566"/>
    <w:rPr>
      <w:b/>
      <w:bCs/>
      <w:sz w:val="30"/>
      <w:szCs w:val="30"/>
    </w:rPr>
  </w:style>
  <w:style w:type="paragraph" w:styleId="BalloonText">
    <w:name w:val="Balloon Text"/>
    <w:basedOn w:val="Normal"/>
    <w:link w:val="BalloonTextChar"/>
    <w:uiPriority w:val="99"/>
    <w:semiHidden/>
    <w:unhideWhenUsed/>
    <w:rsid w:val="0095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66"/>
    <w:rPr>
      <w:rFonts w:ascii="Tahoma" w:hAnsi="Tahoma" w:cs="Tahoma"/>
      <w:sz w:val="16"/>
      <w:szCs w:val="16"/>
    </w:rPr>
  </w:style>
  <w:style w:type="character" w:styleId="Hyperlink">
    <w:name w:val="Hyperlink"/>
    <w:basedOn w:val="DefaultParagraphFont"/>
    <w:uiPriority w:val="99"/>
    <w:unhideWhenUsed/>
    <w:rsid w:val="009505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ytypeheader1">
    <w:name w:val="policytypeheader1"/>
    <w:basedOn w:val="DefaultParagraphFont"/>
    <w:rsid w:val="00950566"/>
    <w:rPr>
      <w:b/>
      <w:bCs/>
      <w:i w:val="0"/>
      <w:iCs w:val="0"/>
      <w:color w:val="000000"/>
      <w:sz w:val="32"/>
      <w:szCs w:val="32"/>
    </w:rPr>
  </w:style>
  <w:style w:type="character" w:customStyle="1" w:styleId="policysectiontitle1">
    <w:name w:val="policysectiontitle1"/>
    <w:basedOn w:val="DefaultParagraphFont"/>
    <w:rsid w:val="00950566"/>
    <w:rPr>
      <w:b/>
      <w:bCs/>
      <w:sz w:val="32"/>
      <w:szCs w:val="32"/>
    </w:rPr>
  </w:style>
  <w:style w:type="character" w:customStyle="1" w:styleId="policysectionheader1">
    <w:name w:val="policysectionheader1"/>
    <w:basedOn w:val="DefaultParagraphFont"/>
    <w:rsid w:val="00950566"/>
    <w:rPr>
      <w:b/>
      <w:bCs/>
      <w:sz w:val="30"/>
      <w:szCs w:val="30"/>
    </w:rPr>
  </w:style>
  <w:style w:type="paragraph" w:styleId="BalloonText">
    <w:name w:val="Balloon Text"/>
    <w:basedOn w:val="Normal"/>
    <w:link w:val="BalloonTextChar"/>
    <w:uiPriority w:val="99"/>
    <w:semiHidden/>
    <w:unhideWhenUsed/>
    <w:rsid w:val="0095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66"/>
    <w:rPr>
      <w:rFonts w:ascii="Tahoma" w:hAnsi="Tahoma" w:cs="Tahoma"/>
      <w:sz w:val="16"/>
      <w:szCs w:val="16"/>
    </w:rPr>
  </w:style>
  <w:style w:type="character" w:styleId="Hyperlink">
    <w:name w:val="Hyperlink"/>
    <w:basedOn w:val="DefaultParagraphFont"/>
    <w:uiPriority w:val="99"/>
    <w:unhideWhenUsed/>
    <w:rsid w:val="009505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99330">
      <w:bodyDiv w:val="1"/>
      <w:marLeft w:val="0"/>
      <w:marRight w:val="0"/>
      <w:marTop w:val="0"/>
      <w:marBottom w:val="0"/>
      <w:divBdr>
        <w:top w:val="none" w:sz="0" w:space="0" w:color="auto"/>
        <w:left w:val="none" w:sz="0" w:space="0" w:color="auto"/>
        <w:bottom w:val="none" w:sz="0" w:space="0" w:color="auto"/>
        <w:right w:val="none" w:sz="0" w:space="0" w:color="auto"/>
      </w:divBdr>
      <w:divsChild>
        <w:div w:id="924800004">
          <w:marLeft w:val="0"/>
          <w:marRight w:val="0"/>
          <w:marTop w:val="0"/>
          <w:marBottom w:val="0"/>
          <w:divBdr>
            <w:top w:val="none" w:sz="0" w:space="0" w:color="auto"/>
            <w:left w:val="none" w:sz="0" w:space="0" w:color="auto"/>
            <w:bottom w:val="none" w:sz="0" w:space="0" w:color="auto"/>
            <w:right w:val="none" w:sz="0" w:space="0" w:color="auto"/>
          </w:divBdr>
          <w:divsChild>
            <w:div w:id="1122118654">
              <w:marLeft w:val="0"/>
              <w:marRight w:val="0"/>
              <w:marTop w:val="0"/>
              <w:marBottom w:val="0"/>
              <w:divBdr>
                <w:top w:val="none" w:sz="0" w:space="0" w:color="auto"/>
                <w:left w:val="none" w:sz="0" w:space="0" w:color="auto"/>
                <w:bottom w:val="none" w:sz="0" w:space="0" w:color="auto"/>
                <w:right w:val="none" w:sz="0" w:space="0" w:color="auto"/>
              </w:divBdr>
              <w:divsChild>
                <w:div w:id="1833447703">
                  <w:marLeft w:val="0"/>
                  <w:marRight w:val="0"/>
                  <w:marTop w:val="0"/>
                  <w:marBottom w:val="0"/>
                  <w:divBdr>
                    <w:top w:val="none" w:sz="0" w:space="0" w:color="auto"/>
                    <w:left w:val="none" w:sz="0" w:space="0" w:color="auto"/>
                    <w:bottom w:val="none" w:sz="0" w:space="0" w:color="auto"/>
                    <w:right w:val="none" w:sz="0" w:space="0" w:color="auto"/>
                  </w:divBdr>
                  <w:divsChild>
                    <w:div w:id="1391541288">
                      <w:marLeft w:val="0"/>
                      <w:marRight w:val="0"/>
                      <w:marTop w:val="0"/>
                      <w:marBottom w:val="0"/>
                      <w:divBdr>
                        <w:top w:val="none" w:sz="0" w:space="0" w:color="auto"/>
                        <w:left w:val="none" w:sz="0" w:space="0" w:color="auto"/>
                        <w:bottom w:val="none" w:sz="0" w:space="0" w:color="auto"/>
                        <w:right w:val="none" w:sz="0" w:space="0" w:color="auto"/>
                      </w:divBdr>
                      <w:divsChild>
                        <w:div w:id="927925083">
                          <w:marLeft w:val="0"/>
                          <w:marRight w:val="0"/>
                          <w:marTop w:val="0"/>
                          <w:marBottom w:val="0"/>
                          <w:divBdr>
                            <w:top w:val="none" w:sz="0" w:space="0" w:color="auto"/>
                            <w:left w:val="none" w:sz="0" w:space="0" w:color="auto"/>
                            <w:bottom w:val="none" w:sz="0" w:space="0" w:color="auto"/>
                            <w:right w:val="none" w:sz="0" w:space="0" w:color="auto"/>
                          </w:divBdr>
                          <w:divsChild>
                            <w:div w:id="1801992541">
                              <w:marLeft w:val="225"/>
                              <w:marRight w:val="0"/>
                              <w:marTop w:val="75"/>
                              <w:marBottom w:val="0"/>
                              <w:divBdr>
                                <w:top w:val="none" w:sz="0" w:space="0" w:color="auto"/>
                                <w:left w:val="none" w:sz="0" w:space="0" w:color="auto"/>
                                <w:bottom w:val="none" w:sz="0" w:space="0" w:color="auto"/>
                                <w:right w:val="none" w:sz="0" w:space="0" w:color="auto"/>
                              </w:divBdr>
                              <w:divsChild>
                                <w:div w:id="1813978821">
                                  <w:marLeft w:val="0"/>
                                  <w:marRight w:val="0"/>
                                  <w:marTop w:val="0"/>
                                  <w:marBottom w:val="0"/>
                                  <w:divBdr>
                                    <w:top w:val="none" w:sz="0" w:space="0" w:color="auto"/>
                                    <w:left w:val="none" w:sz="0" w:space="0" w:color="auto"/>
                                    <w:bottom w:val="none" w:sz="0" w:space="0" w:color="auto"/>
                                    <w:right w:val="none" w:sz="0" w:space="0" w:color="auto"/>
                                  </w:divBdr>
                                  <w:divsChild>
                                    <w:div w:id="1562910653">
                                      <w:marLeft w:val="0"/>
                                      <w:marRight w:val="0"/>
                                      <w:marTop w:val="0"/>
                                      <w:marBottom w:val="0"/>
                                      <w:divBdr>
                                        <w:top w:val="none" w:sz="0" w:space="0" w:color="auto"/>
                                        <w:left w:val="none" w:sz="0" w:space="0" w:color="auto"/>
                                        <w:bottom w:val="none" w:sz="0" w:space="0" w:color="auto"/>
                                        <w:right w:val="none" w:sz="0" w:space="0" w:color="auto"/>
                                      </w:divBdr>
                                    </w:div>
                                    <w:div w:id="1351494642">
                                      <w:marLeft w:val="0"/>
                                      <w:marRight w:val="0"/>
                                      <w:marTop w:val="0"/>
                                      <w:marBottom w:val="0"/>
                                      <w:divBdr>
                                        <w:top w:val="none" w:sz="0" w:space="0" w:color="auto"/>
                                        <w:left w:val="none" w:sz="0" w:space="0" w:color="auto"/>
                                        <w:bottom w:val="none" w:sz="0" w:space="0" w:color="auto"/>
                                        <w:right w:val="none" w:sz="0" w:space="0" w:color="auto"/>
                                      </w:divBdr>
                                      <w:divsChild>
                                        <w:div w:id="576206424">
                                          <w:marLeft w:val="0"/>
                                          <w:marRight w:val="0"/>
                                          <w:marTop w:val="0"/>
                                          <w:marBottom w:val="0"/>
                                          <w:divBdr>
                                            <w:top w:val="none" w:sz="0" w:space="0" w:color="auto"/>
                                            <w:left w:val="none" w:sz="0" w:space="0" w:color="auto"/>
                                            <w:bottom w:val="none" w:sz="0" w:space="0" w:color="auto"/>
                                            <w:right w:val="none" w:sz="0" w:space="0" w:color="auto"/>
                                          </w:divBdr>
                                        </w:div>
                                        <w:div w:id="436827616">
                                          <w:marLeft w:val="0"/>
                                          <w:marRight w:val="0"/>
                                          <w:marTop w:val="0"/>
                                          <w:marBottom w:val="0"/>
                                          <w:divBdr>
                                            <w:top w:val="none" w:sz="0" w:space="0" w:color="auto"/>
                                            <w:left w:val="none" w:sz="0" w:space="0" w:color="auto"/>
                                            <w:bottom w:val="none" w:sz="0" w:space="0" w:color="auto"/>
                                            <w:right w:val="none" w:sz="0" w:space="0" w:color="auto"/>
                                          </w:divBdr>
                                        </w:div>
                                      </w:divsChild>
                                    </w:div>
                                    <w:div w:id="1587020">
                                      <w:marLeft w:val="0"/>
                                      <w:marRight w:val="0"/>
                                      <w:marTop w:val="0"/>
                                      <w:marBottom w:val="0"/>
                                      <w:divBdr>
                                        <w:top w:val="none" w:sz="0" w:space="0" w:color="auto"/>
                                        <w:left w:val="none" w:sz="0" w:space="0" w:color="auto"/>
                                        <w:bottom w:val="none" w:sz="0" w:space="0" w:color="auto"/>
                                        <w:right w:val="none" w:sz="0" w:space="0" w:color="auto"/>
                                      </w:divBdr>
                                      <w:divsChild>
                                        <w:div w:id="1328629808">
                                          <w:marLeft w:val="0"/>
                                          <w:marRight w:val="0"/>
                                          <w:marTop w:val="0"/>
                                          <w:marBottom w:val="0"/>
                                          <w:divBdr>
                                            <w:top w:val="none" w:sz="0" w:space="0" w:color="auto"/>
                                            <w:left w:val="none" w:sz="0" w:space="0" w:color="auto"/>
                                            <w:bottom w:val="none" w:sz="0" w:space="0" w:color="auto"/>
                                            <w:right w:val="none" w:sz="0" w:space="0" w:color="auto"/>
                                          </w:divBdr>
                                          <w:divsChild>
                                            <w:div w:id="1756321983">
                                              <w:marLeft w:val="0"/>
                                              <w:marRight w:val="0"/>
                                              <w:marTop w:val="240"/>
                                              <w:marBottom w:val="0"/>
                                              <w:divBdr>
                                                <w:top w:val="none" w:sz="0" w:space="0" w:color="auto"/>
                                                <w:left w:val="none" w:sz="0" w:space="0" w:color="auto"/>
                                                <w:bottom w:val="none" w:sz="0" w:space="0" w:color="auto"/>
                                                <w:right w:val="none" w:sz="0" w:space="0" w:color="auto"/>
                                              </w:divBdr>
                                              <w:divsChild>
                                                <w:div w:id="1893805547">
                                                  <w:marLeft w:val="0"/>
                                                  <w:marRight w:val="0"/>
                                                  <w:marTop w:val="0"/>
                                                  <w:marBottom w:val="0"/>
                                                  <w:divBdr>
                                                    <w:top w:val="none" w:sz="0" w:space="0" w:color="auto"/>
                                                    <w:left w:val="none" w:sz="0" w:space="0" w:color="auto"/>
                                                    <w:bottom w:val="none" w:sz="0" w:space="0" w:color="auto"/>
                                                    <w:right w:val="none" w:sz="0" w:space="0" w:color="auto"/>
                                                  </w:divBdr>
                                                </w:div>
                                                <w:div w:id="259223819">
                                                  <w:marLeft w:val="0"/>
                                                  <w:marRight w:val="0"/>
                                                  <w:marTop w:val="90"/>
                                                  <w:marBottom w:val="60"/>
                                                  <w:divBdr>
                                                    <w:top w:val="none" w:sz="0" w:space="0" w:color="auto"/>
                                                    <w:left w:val="none" w:sz="0" w:space="0" w:color="auto"/>
                                                    <w:bottom w:val="none" w:sz="0" w:space="0" w:color="auto"/>
                                                    <w:right w:val="none" w:sz="0" w:space="0" w:color="auto"/>
                                                  </w:divBdr>
                                                  <w:divsChild>
                                                    <w:div w:id="330644803">
                                                      <w:marLeft w:val="0"/>
                                                      <w:marRight w:val="0"/>
                                                      <w:marTop w:val="0"/>
                                                      <w:marBottom w:val="0"/>
                                                      <w:divBdr>
                                                        <w:top w:val="none" w:sz="0" w:space="0" w:color="auto"/>
                                                        <w:left w:val="none" w:sz="0" w:space="0" w:color="auto"/>
                                                        <w:bottom w:val="none" w:sz="0" w:space="0" w:color="auto"/>
                                                        <w:right w:val="none" w:sz="0" w:space="0" w:color="auto"/>
                                                      </w:divBdr>
                                                    </w:div>
                                                    <w:div w:id="14085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6137">
                                              <w:marLeft w:val="0"/>
                                              <w:marRight w:val="0"/>
                                              <w:marTop w:val="240"/>
                                              <w:marBottom w:val="0"/>
                                              <w:divBdr>
                                                <w:top w:val="none" w:sz="0" w:space="0" w:color="auto"/>
                                                <w:left w:val="none" w:sz="0" w:space="0" w:color="auto"/>
                                                <w:bottom w:val="none" w:sz="0" w:space="0" w:color="auto"/>
                                                <w:right w:val="none" w:sz="0" w:space="0" w:color="auto"/>
                                              </w:divBdr>
                                              <w:divsChild>
                                                <w:div w:id="1393307903">
                                                  <w:marLeft w:val="0"/>
                                                  <w:marRight w:val="0"/>
                                                  <w:marTop w:val="90"/>
                                                  <w:marBottom w:val="60"/>
                                                  <w:divBdr>
                                                    <w:top w:val="none" w:sz="0" w:space="0" w:color="auto"/>
                                                    <w:left w:val="none" w:sz="0" w:space="0" w:color="auto"/>
                                                    <w:bottom w:val="none" w:sz="0" w:space="0" w:color="auto"/>
                                                    <w:right w:val="none" w:sz="0" w:space="0" w:color="auto"/>
                                                  </w:divBdr>
                                                  <w:divsChild>
                                                    <w:div w:id="948393517">
                                                      <w:marLeft w:val="0"/>
                                                      <w:marRight w:val="0"/>
                                                      <w:marTop w:val="0"/>
                                                      <w:marBottom w:val="0"/>
                                                      <w:divBdr>
                                                        <w:top w:val="none" w:sz="0" w:space="0" w:color="auto"/>
                                                        <w:left w:val="none" w:sz="0" w:space="0" w:color="auto"/>
                                                        <w:bottom w:val="none" w:sz="0" w:space="0" w:color="auto"/>
                                                        <w:right w:val="none" w:sz="0" w:space="0" w:color="auto"/>
                                                      </w:divBdr>
                                                    </w:div>
                                                    <w:div w:id="206645687">
                                                      <w:marLeft w:val="0"/>
                                                      <w:marRight w:val="0"/>
                                                      <w:marTop w:val="0"/>
                                                      <w:marBottom w:val="0"/>
                                                      <w:divBdr>
                                                        <w:top w:val="none" w:sz="0" w:space="0" w:color="auto"/>
                                                        <w:left w:val="none" w:sz="0" w:space="0" w:color="auto"/>
                                                        <w:bottom w:val="none" w:sz="0" w:space="0" w:color="auto"/>
                                                        <w:right w:val="none" w:sz="0" w:space="0" w:color="auto"/>
                                                      </w:divBdr>
                                                      <w:divsChild>
                                                        <w:div w:id="461994747">
                                                          <w:marLeft w:val="0"/>
                                                          <w:marRight w:val="0"/>
                                                          <w:marTop w:val="0"/>
                                                          <w:marBottom w:val="0"/>
                                                          <w:divBdr>
                                                            <w:top w:val="none" w:sz="0" w:space="0" w:color="auto"/>
                                                            <w:left w:val="none" w:sz="0" w:space="0" w:color="auto"/>
                                                            <w:bottom w:val="none" w:sz="0" w:space="0" w:color="auto"/>
                                                            <w:right w:val="none" w:sz="0" w:space="0" w:color="auto"/>
                                                          </w:divBdr>
                                                        </w:div>
                                                        <w:div w:id="330451622">
                                                          <w:marLeft w:val="0"/>
                                                          <w:marRight w:val="0"/>
                                                          <w:marTop w:val="0"/>
                                                          <w:marBottom w:val="0"/>
                                                          <w:divBdr>
                                                            <w:top w:val="none" w:sz="0" w:space="0" w:color="auto"/>
                                                            <w:left w:val="none" w:sz="0" w:space="0" w:color="auto"/>
                                                            <w:bottom w:val="none" w:sz="0" w:space="0" w:color="auto"/>
                                                            <w:right w:val="none" w:sz="0" w:space="0" w:color="auto"/>
                                                          </w:divBdr>
                                                        </w:div>
                                                        <w:div w:id="1322348550">
                                                          <w:marLeft w:val="0"/>
                                                          <w:marRight w:val="0"/>
                                                          <w:marTop w:val="0"/>
                                                          <w:marBottom w:val="0"/>
                                                          <w:divBdr>
                                                            <w:top w:val="none" w:sz="0" w:space="0" w:color="auto"/>
                                                            <w:left w:val="none" w:sz="0" w:space="0" w:color="auto"/>
                                                            <w:bottom w:val="none" w:sz="0" w:space="0" w:color="auto"/>
                                                            <w:right w:val="none" w:sz="0" w:space="0" w:color="auto"/>
                                                          </w:divBdr>
                                                        </w:div>
                                                        <w:div w:id="502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0734">
                                              <w:marLeft w:val="0"/>
                                              <w:marRight w:val="0"/>
                                              <w:marTop w:val="240"/>
                                              <w:marBottom w:val="0"/>
                                              <w:divBdr>
                                                <w:top w:val="none" w:sz="0" w:space="0" w:color="auto"/>
                                                <w:left w:val="none" w:sz="0" w:space="0" w:color="auto"/>
                                                <w:bottom w:val="none" w:sz="0" w:space="0" w:color="auto"/>
                                                <w:right w:val="none" w:sz="0" w:space="0" w:color="auto"/>
                                              </w:divBdr>
                                              <w:divsChild>
                                                <w:div w:id="69935392">
                                                  <w:marLeft w:val="0"/>
                                                  <w:marRight w:val="0"/>
                                                  <w:marTop w:val="90"/>
                                                  <w:marBottom w:val="60"/>
                                                  <w:divBdr>
                                                    <w:top w:val="none" w:sz="0" w:space="0" w:color="auto"/>
                                                    <w:left w:val="none" w:sz="0" w:space="0" w:color="auto"/>
                                                    <w:bottom w:val="none" w:sz="0" w:space="0" w:color="auto"/>
                                                    <w:right w:val="none" w:sz="0" w:space="0" w:color="auto"/>
                                                  </w:divBdr>
                                                  <w:divsChild>
                                                    <w:div w:id="1091245018">
                                                      <w:marLeft w:val="0"/>
                                                      <w:marRight w:val="0"/>
                                                      <w:marTop w:val="0"/>
                                                      <w:marBottom w:val="0"/>
                                                      <w:divBdr>
                                                        <w:top w:val="none" w:sz="0" w:space="0" w:color="auto"/>
                                                        <w:left w:val="none" w:sz="0" w:space="0" w:color="auto"/>
                                                        <w:bottom w:val="none" w:sz="0" w:space="0" w:color="auto"/>
                                                        <w:right w:val="none" w:sz="0" w:space="0" w:color="auto"/>
                                                      </w:divBdr>
                                                    </w:div>
                                                    <w:div w:id="1160192219">
                                                      <w:marLeft w:val="0"/>
                                                      <w:marRight w:val="0"/>
                                                      <w:marTop w:val="0"/>
                                                      <w:marBottom w:val="0"/>
                                                      <w:divBdr>
                                                        <w:top w:val="none" w:sz="0" w:space="0" w:color="auto"/>
                                                        <w:left w:val="none" w:sz="0" w:space="0" w:color="auto"/>
                                                        <w:bottom w:val="none" w:sz="0" w:space="0" w:color="auto"/>
                                                        <w:right w:val="none" w:sz="0" w:space="0" w:color="auto"/>
                                                      </w:divBdr>
                                                      <w:divsChild>
                                                        <w:div w:id="726218669">
                                                          <w:marLeft w:val="0"/>
                                                          <w:marRight w:val="0"/>
                                                          <w:marTop w:val="0"/>
                                                          <w:marBottom w:val="0"/>
                                                          <w:divBdr>
                                                            <w:top w:val="none" w:sz="0" w:space="0" w:color="auto"/>
                                                            <w:left w:val="none" w:sz="0" w:space="0" w:color="auto"/>
                                                            <w:bottom w:val="none" w:sz="0" w:space="0" w:color="auto"/>
                                                            <w:right w:val="none" w:sz="0" w:space="0" w:color="auto"/>
                                                          </w:divBdr>
                                                        </w:div>
                                                        <w:div w:id="19372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8082">
                                              <w:marLeft w:val="0"/>
                                              <w:marRight w:val="0"/>
                                              <w:marTop w:val="240"/>
                                              <w:marBottom w:val="0"/>
                                              <w:divBdr>
                                                <w:top w:val="none" w:sz="0" w:space="0" w:color="auto"/>
                                                <w:left w:val="none" w:sz="0" w:space="0" w:color="auto"/>
                                                <w:bottom w:val="none" w:sz="0" w:space="0" w:color="auto"/>
                                                <w:right w:val="none" w:sz="0" w:space="0" w:color="auto"/>
                                              </w:divBdr>
                                              <w:divsChild>
                                                <w:div w:id="1834107112">
                                                  <w:marLeft w:val="0"/>
                                                  <w:marRight w:val="0"/>
                                                  <w:marTop w:val="90"/>
                                                  <w:marBottom w:val="60"/>
                                                  <w:divBdr>
                                                    <w:top w:val="none" w:sz="0" w:space="0" w:color="auto"/>
                                                    <w:left w:val="none" w:sz="0" w:space="0" w:color="auto"/>
                                                    <w:bottom w:val="none" w:sz="0" w:space="0" w:color="auto"/>
                                                    <w:right w:val="none" w:sz="0" w:space="0" w:color="auto"/>
                                                  </w:divBdr>
                                                  <w:divsChild>
                                                    <w:div w:id="554968066">
                                                      <w:marLeft w:val="0"/>
                                                      <w:marRight w:val="0"/>
                                                      <w:marTop w:val="0"/>
                                                      <w:marBottom w:val="0"/>
                                                      <w:divBdr>
                                                        <w:top w:val="none" w:sz="0" w:space="0" w:color="auto"/>
                                                        <w:left w:val="none" w:sz="0" w:space="0" w:color="auto"/>
                                                        <w:bottom w:val="none" w:sz="0" w:space="0" w:color="auto"/>
                                                        <w:right w:val="none" w:sz="0" w:space="0" w:color="auto"/>
                                                      </w:divBdr>
                                                    </w:div>
                                                    <w:div w:id="66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2622">
                                              <w:marLeft w:val="0"/>
                                              <w:marRight w:val="0"/>
                                              <w:marTop w:val="240"/>
                                              <w:marBottom w:val="0"/>
                                              <w:divBdr>
                                                <w:top w:val="none" w:sz="0" w:space="0" w:color="auto"/>
                                                <w:left w:val="none" w:sz="0" w:space="0" w:color="auto"/>
                                                <w:bottom w:val="none" w:sz="0" w:space="0" w:color="auto"/>
                                                <w:right w:val="none" w:sz="0" w:space="0" w:color="auto"/>
                                              </w:divBdr>
                                              <w:divsChild>
                                                <w:div w:id="199827398">
                                                  <w:marLeft w:val="0"/>
                                                  <w:marRight w:val="0"/>
                                                  <w:marTop w:val="90"/>
                                                  <w:marBottom w:val="60"/>
                                                  <w:divBdr>
                                                    <w:top w:val="none" w:sz="0" w:space="0" w:color="auto"/>
                                                    <w:left w:val="none" w:sz="0" w:space="0" w:color="auto"/>
                                                    <w:bottom w:val="none" w:sz="0" w:space="0" w:color="auto"/>
                                                    <w:right w:val="none" w:sz="0" w:space="0" w:color="auto"/>
                                                  </w:divBdr>
                                                </w:div>
                                              </w:divsChild>
                                            </w:div>
                                            <w:div w:id="375811639">
                                              <w:marLeft w:val="0"/>
                                              <w:marRight w:val="0"/>
                                              <w:marTop w:val="240"/>
                                              <w:marBottom w:val="0"/>
                                              <w:divBdr>
                                                <w:top w:val="none" w:sz="0" w:space="0" w:color="auto"/>
                                                <w:left w:val="none" w:sz="0" w:space="0" w:color="auto"/>
                                                <w:bottom w:val="none" w:sz="0" w:space="0" w:color="auto"/>
                                                <w:right w:val="none" w:sz="0" w:space="0" w:color="auto"/>
                                              </w:divBdr>
                                              <w:divsChild>
                                                <w:div w:id="1321882530">
                                                  <w:marLeft w:val="0"/>
                                                  <w:marRight w:val="0"/>
                                                  <w:marTop w:val="90"/>
                                                  <w:marBottom w:val="60"/>
                                                  <w:divBdr>
                                                    <w:top w:val="none" w:sz="0" w:space="0" w:color="auto"/>
                                                    <w:left w:val="none" w:sz="0" w:space="0" w:color="auto"/>
                                                    <w:bottom w:val="none" w:sz="0" w:space="0" w:color="auto"/>
                                                    <w:right w:val="none" w:sz="0" w:space="0" w:color="auto"/>
                                                  </w:divBdr>
                                                  <w:divsChild>
                                                    <w:div w:id="392116783">
                                                      <w:marLeft w:val="0"/>
                                                      <w:marRight w:val="0"/>
                                                      <w:marTop w:val="0"/>
                                                      <w:marBottom w:val="0"/>
                                                      <w:divBdr>
                                                        <w:top w:val="none" w:sz="0" w:space="0" w:color="auto"/>
                                                        <w:left w:val="none" w:sz="0" w:space="0" w:color="auto"/>
                                                        <w:bottom w:val="none" w:sz="0" w:space="0" w:color="auto"/>
                                                        <w:right w:val="none" w:sz="0" w:space="0" w:color="auto"/>
                                                      </w:divBdr>
                                                    </w:div>
                                                    <w:div w:id="2085099637">
                                                      <w:marLeft w:val="0"/>
                                                      <w:marRight w:val="0"/>
                                                      <w:marTop w:val="0"/>
                                                      <w:marBottom w:val="0"/>
                                                      <w:divBdr>
                                                        <w:top w:val="none" w:sz="0" w:space="0" w:color="auto"/>
                                                        <w:left w:val="none" w:sz="0" w:space="0" w:color="auto"/>
                                                        <w:bottom w:val="none" w:sz="0" w:space="0" w:color="auto"/>
                                                        <w:right w:val="none" w:sz="0" w:space="0" w:color="auto"/>
                                                      </w:divBdr>
                                                      <w:divsChild>
                                                        <w:div w:id="11014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d.oxfordjournals.org/content/44/2/159.full.pdf+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Lynch, John B</cp:lastModifiedBy>
  <cp:revision>2</cp:revision>
  <dcterms:created xsi:type="dcterms:W3CDTF">2017-04-04T19:05:00Z</dcterms:created>
  <dcterms:modified xsi:type="dcterms:W3CDTF">2017-04-04T19:05:00Z</dcterms:modified>
</cp:coreProperties>
</file>