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35" w:rsidRDefault="00207897" w:rsidP="00705935">
      <w:r w:rsidRPr="009F35F7">
        <w:rPr>
          <w:b/>
          <w:u w:val="single"/>
        </w:rPr>
        <w:t>Question:</w:t>
      </w:r>
      <w:r>
        <w:t xml:space="preserve"> </w:t>
      </w:r>
      <w:r w:rsidR="00705935">
        <w:t xml:space="preserve">It seems an added concern would be that many of our patients are Type II or Type 1 diabetics, where the bladder would be serving as a giant incubator with lots of food in the form of glucose for </w:t>
      </w:r>
      <w:proofErr w:type="gramStart"/>
      <w:r w:rsidR="00705935">
        <w:t>the  bacteria</w:t>
      </w:r>
      <w:proofErr w:type="gramEnd"/>
      <w:r w:rsidR="00705935">
        <w:t xml:space="preserve">. Are there certain antibiotics that are better for the diabetic population that has less side effects?  </w:t>
      </w:r>
    </w:p>
    <w:p w:rsidR="008C6D8D" w:rsidRDefault="00406590"/>
    <w:p w:rsidR="00705935" w:rsidRPr="009F35F7" w:rsidRDefault="00705935">
      <w:pPr>
        <w:rPr>
          <w:b/>
          <w:u w:val="single"/>
        </w:rPr>
      </w:pPr>
      <w:r w:rsidRPr="009F35F7">
        <w:rPr>
          <w:b/>
          <w:u w:val="single"/>
        </w:rPr>
        <w:t xml:space="preserve">Summary: </w:t>
      </w:r>
      <w:bookmarkStart w:id="0" w:name="_GoBack"/>
      <w:bookmarkEnd w:id="0"/>
    </w:p>
    <w:p w:rsidR="00705935" w:rsidRPr="009F35F7" w:rsidRDefault="00705935" w:rsidP="00705935">
      <w:pPr>
        <w:pStyle w:val="ListParagraph"/>
        <w:numPr>
          <w:ilvl w:val="0"/>
          <w:numId w:val="1"/>
        </w:numPr>
      </w:pPr>
      <w:r>
        <w:t>The presence of diabetes, particularly uncontrolled, is associated with more frequent UTIs, and UTIs caused by a greater variety of pathogens including fungi and drug-resistant bacteria.</w:t>
      </w:r>
      <w:r w:rsidR="00A549C6">
        <w:rPr>
          <w:vertAlign w:val="superscript"/>
        </w:rPr>
        <w:t>1</w:t>
      </w:r>
    </w:p>
    <w:p w:rsidR="00705935" w:rsidRDefault="00705935" w:rsidP="00705935">
      <w:pPr>
        <w:pStyle w:val="ListParagraph"/>
        <w:numPr>
          <w:ilvl w:val="0"/>
          <w:numId w:val="1"/>
        </w:numPr>
      </w:pPr>
      <w:r>
        <w:t xml:space="preserve">Principles of treatment are not different than the general population including first and second line therapies. </w:t>
      </w:r>
    </w:p>
    <w:p w:rsidR="009F35F7" w:rsidRDefault="009F35F7" w:rsidP="009F35F7">
      <w:pPr>
        <w:pStyle w:val="ListParagraph"/>
        <w:numPr>
          <w:ilvl w:val="0"/>
          <w:numId w:val="1"/>
        </w:numPr>
      </w:pPr>
      <w:r>
        <w:t>Treatment of asymptomatic bacteriuria in DM patients does NOT prevent future UTIs nor does it prevent complications associated with urinary tract infections.</w:t>
      </w:r>
      <w:r w:rsidRPr="009F35F7">
        <w:rPr>
          <w:vertAlign w:val="superscript"/>
        </w:rPr>
        <w:t>2</w:t>
      </w:r>
    </w:p>
    <w:p w:rsidR="009F35F7" w:rsidRDefault="009F35F7" w:rsidP="009F35F7">
      <w:pPr>
        <w:pStyle w:val="ListParagraph"/>
      </w:pPr>
    </w:p>
    <w:p w:rsidR="00F626A0" w:rsidRDefault="00F626A0" w:rsidP="009F35F7">
      <w:pPr>
        <w:pStyle w:val="ListParagraph"/>
      </w:pPr>
    </w:p>
    <w:p w:rsidR="009F35F7" w:rsidRDefault="009F35F7" w:rsidP="009F35F7">
      <w:r w:rsidRPr="009F35F7">
        <w:rPr>
          <w:b/>
          <w:u w:val="single"/>
        </w:rPr>
        <w:t>Table 1:</w:t>
      </w:r>
      <w:r>
        <w:t xml:space="preserve"> First and second-line</w:t>
      </w:r>
      <w:r>
        <w:t xml:space="preserve"> antimicrobial therapies </w:t>
      </w:r>
      <w:r>
        <w:t>with</w:t>
      </w:r>
      <w:r>
        <w:t xml:space="preserve"> DM-specific notes related to their safety and efficacy profile</w:t>
      </w:r>
    </w:p>
    <w:p w:rsidR="00E67806" w:rsidRDefault="00207897" w:rsidP="00E678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A8EA28" wp14:editId="6E2BF1BF">
                <wp:simplePos x="0" y="0"/>
                <wp:positionH relativeFrom="column">
                  <wp:posOffset>-990600</wp:posOffset>
                </wp:positionH>
                <wp:positionV relativeFrom="paragraph">
                  <wp:posOffset>1910715</wp:posOffset>
                </wp:positionV>
                <wp:extent cx="990600" cy="285750"/>
                <wp:effectExtent l="0" t="9525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7" w:rsidRPr="00207897" w:rsidRDefault="00207897" w:rsidP="00207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Second</w:t>
                            </w:r>
                            <w:r w:rsidRPr="00207897">
                              <w:rPr>
                                <w:b/>
                              </w:rPr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8E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8pt;margin-top:150.45pt;width:78pt;height:22.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" stroked="f">
                <v:textbox>
                  <w:txbxContent>
                    <w:p w:rsidR="00207897" w:rsidRPr="00207897" w:rsidRDefault="00207897" w:rsidP="00207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Second</w:t>
                      </w:r>
                      <w:r w:rsidRPr="00207897">
                        <w:rPr>
                          <w:b/>
                        </w:rPr>
                        <w:t xml:space="preserve">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C7EB5" wp14:editId="18D5B9E7">
                <wp:simplePos x="0" y="0"/>
                <wp:positionH relativeFrom="column">
                  <wp:posOffset>-304800</wp:posOffset>
                </wp:positionH>
                <wp:positionV relativeFrom="paragraph">
                  <wp:posOffset>1158240</wp:posOffset>
                </wp:positionV>
                <wp:extent cx="45719" cy="1943100"/>
                <wp:effectExtent l="19050" t="0" r="12065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103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24pt;margin-top:91.2pt;width:3.6pt;height:1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" adj="42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434340</wp:posOffset>
                </wp:positionV>
                <wp:extent cx="990600" cy="285750"/>
                <wp:effectExtent l="0" t="9525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897" w:rsidRPr="00207897" w:rsidRDefault="00207897">
                            <w:pPr>
                              <w:rPr>
                                <w:b/>
                              </w:rPr>
                            </w:pPr>
                            <w:r w:rsidRPr="00207897">
                              <w:rPr>
                                <w:b/>
                              </w:rPr>
                              <w:t>First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8pt;margin-top:34.2pt;width:78pt;height:22.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" stroked="f">
                <v:textbox>
                  <w:txbxContent>
                    <w:p w:rsidR="00207897" w:rsidRPr="00207897" w:rsidRDefault="00207897">
                      <w:pPr>
                        <w:rPr>
                          <w:b/>
                        </w:rPr>
                      </w:pPr>
                      <w:r w:rsidRPr="00207897">
                        <w:rPr>
                          <w:b/>
                        </w:rPr>
                        <w:t>First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329565</wp:posOffset>
                </wp:positionV>
                <wp:extent cx="45719" cy="714375"/>
                <wp:effectExtent l="19050" t="0" r="12065" b="2857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BC64" id="Left Brace 1" o:spid="_x0000_s1026" type="#_x0000_t87" style="position:absolute;margin-left:-26.25pt;margin-top:25.95pt;width:3.6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" adj="115" strokecolor="#4472c4 [3204]" strokeweight=".5pt">
                <v:stroke joinstyle="miter"/>
              </v:shape>
            </w:pict>
          </mc:Fallback>
        </mc:AlternateConten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610"/>
        <w:gridCol w:w="2880"/>
        <w:gridCol w:w="4860"/>
      </w:tblGrid>
      <w:tr w:rsidR="00207897" w:rsidTr="00207897">
        <w:tc>
          <w:tcPr>
            <w:tcW w:w="2610" w:type="dxa"/>
          </w:tcPr>
          <w:p w:rsidR="00E67806" w:rsidRPr="00E67806" w:rsidRDefault="00E67806" w:rsidP="00E67806">
            <w:pPr>
              <w:rPr>
                <w:b/>
              </w:rPr>
            </w:pPr>
            <w:r>
              <w:rPr>
                <w:b/>
              </w:rPr>
              <w:t>Antibiotic</w:t>
            </w:r>
          </w:p>
        </w:tc>
        <w:tc>
          <w:tcPr>
            <w:tcW w:w="2880" w:type="dxa"/>
          </w:tcPr>
          <w:p w:rsidR="00E67806" w:rsidRPr="00E67806" w:rsidRDefault="00E67806" w:rsidP="00E67806">
            <w:pPr>
              <w:rPr>
                <w:b/>
              </w:rPr>
            </w:pPr>
            <w:r>
              <w:rPr>
                <w:b/>
              </w:rPr>
              <w:t>PROS</w:t>
            </w:r>
          </w:p>
        </w:tc>
        <w:tc>
          <w:tcPr>
            <w:tcW w:w="4860" w:type="dxa"/>
          </w:tcPr>
          <w:p w:rsidR="00E67806" w:rsidRPr="00E67806" w:rsidRDefault="00E67806" w:rsidP="00E67806">
            <w:r>
              <w:rPr>
                <w:b/>
              </w:rPr>
              <w:t>CONS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r>
              <w:t>Nitrofurantoin</w:t>
            </w:r>
          </w:p>
        </w:tc>
        <w:tc>
          <w:tcPr>
            <w:tcW w:w="2880" w:type="dxa"/>
          </w:tcPr>
          <w:p w:rsidR="00E67806" w:rsidRDefault="00E67806" w:rsidP="00E67806">
            <w:r>
              <w:t>Urine-specific</w:t>
            </w:r>
          </w:p>
        </w:tc>
        <w:tc>
          <w:tcPr>
            <w:tcW w:w="4860" w:type="dxa"/>
          </w:tcPr>
          <w:p w:rsidR="00E67806" w:rsidRDefault="00E67806" w:rsidP="00E67806">
            <w:r>
              <w:t>Ineffective in patients with renal impairment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r>
              <w:t>Sulfamethoxazole/TMP</w:t>
            </w:r>
          </w:p>
        </w:tc>
        <w:tc>
          <w:tcPr>
            <w:tcW w:w="2880" w:type="dxa"/>
          </w:tcPr>
          <w:p w:rsidR="00E67806" w:rsidRDefault="00E67806" w:rsidP="00E67806">
            <w:r>
              <w:t>Good concentration in urine</w:t>
            </w:r>
          </w:p>
        </w:tc>
        <w:tc>
          <w:tcPr>
            <w:tcW w:w="4860" w:type="dxa"/>
          </w:tcPr>
          <w:p w:rsidR="00E67806" w:rsidRDefault="00E67806" w:rsidP="00E67806">
            <w:r>
              <w:t>Renally toxic – ensure good hydration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proofErr w:type="spellStart"/>
            <w:r>
              <w:t>Fosfomycin</w:t>
            </w:r>
            <w:proofErr w:type="spellEnd"/>
          </w:p>
        </w:tc>
        <w:tc>
          <w:tcPr>
            <w:tcW w:w="2880" w:type="dxa"/>
          </w:tcPr>
          <w:p w:rsidR="00E67806" w:rsidRPr="00914F79" w:rsidRDefault="00E67806" w:rsidP="00E67806">
            <w:pPr>
              <w:rPr>
                <w:vertAlign w:val="superscript"/>
              </w:rPr>
            </w:pPr>
            <w:r>
              <w:t>Broad spectrum, single-dose without need for adjustment</w:t>
            </w:r>
            <w:r w:rsidR="009F35F7">
              <w:rPr>
                <w:vertAlign w:val="superscript"/>
              </w:rPr>
              <w:t>3</w:t>
            </w:r>
          </w:p>
        </w:tc>
        <w:tc>
          <w:tcPr>
            <w:tcW w:w="4860" w:type="dxa"/>
          </w:tcPr>
          <w:p w:rsidR="00E67806" w:rsidRDefault="00E67806" w:rsidP="00E67806">
            <w:r>
              <w:t>Price</w:t>
            </w:r>
            <w:r>
              <w:br/>
              <w:t>Increased dosing leads to GI ADRs</w:t>
            </w:r>
            <w:r w:rsidR="009F35F7">
              <w:rPr>
                <w:vertAlign w:val="superscript"/>
              </w:rPr>
              <w:t>4</w:t>
            </w:r>
          </w:p>
        </w:tc>
      </w:tr>
      <w:tr w:rsidR="00207897" w:rsidTr="00207897">
        <w:tc>
          <w:tcPr>
            <w:tcW w:w="2610" w:type="dxa"/>
          </w:tcPr>
          <w:p w:rsidR="00E67806" w:rsidRDefault="00207897" w:rsidP="00E67806">
            <w:r>
              <w:t>Fluoroquinolones</w:t>
            </w:r>
          </w:p>
        </w:tc>
        <w:tc>
          <w:tcPr>
            <w:tcW w:w="2880" w:type="dxa"/>
          </w:tcPr>
          <w:p w:rsidR="00E67806" w:rsidRDefault="00914F79" w:rsidP="00E67806">
            <w:r>
              <w:t>Highly effective</w:t>
            </w:r>
          </w:p>
        </w:tc>
        <w:tc>
          <w:tcPr>
            <w:tcW w:w="4860" w:type="dxa"/>
          </w:tcPr>
          <w:p w:rsidR="00914F79" w:rsidRDefault="00914F79" w:rsidP="00E67806">
            <w:r>
              <w:t xml:space="preserve">Increase risk of </w:t>
            </w:r>
            <w:proofErr w:type="spellStart"/>
            <w:r>
              <w:t>dysglycemia</w:t>
            </w:r>
            <w:proofErr w:type="spellEnd"/>
            <w:r>
              <w:t xml:space="preserve"> </w:t>
            </w:r>
            <w:r>
              <w:br/>
              <w:t>-hyper or hypoglycemia</w:t>
            </w:r>
            <w:r>
              <w:br/>
              <w:t xml:space="preserve">risk greater with </w:t>
            </w:r>
          </w:p>
          <w:p w:rsidR="00914F79" w:rsidRDefault="00914F79" w:rsidP="00E67806">
            <w:r>
              <w:t>levofloxacin 0.19 and 0.18</w:t>
            </w:r>
          </w:p>
          <w:p w:rsidR="00E67806" w:rsidRDefault="00914F79" w:rsidP="00E67806">
            <w:r>
              <w:t>ciprofloxacin 0.10 and 0.12</w:t>
            </w:r>
          </w:p>
          <w:p w:rsidR="00914F79" w:rsidRPr="00914F79" w:rsidRDefault="00914F79" w:rsidP="00E67806">
            <w:pPr>
              <w:rPr>
                <w:vertAlign w:val="superscript"/>
              </w:rPr>
            </w:pPr>
            <w:r>
              <w:t>cases of hypo and hyperglycemia per 1000 patients</w:t>
            </w:r>
            <w:r w:rsidR="009F35F7">
              <w:rPr>
                <w:vertAlign w:val="superscript"/>
              </w:rPr>
              <w:t>5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r>
              <w:t>Amoxicillin</w:t>
            </w:r>
          </w:p>
        </w:tc>
        <w:tc>
          <w:tcPr>
            <w:tcW w:w="2880" w:type="dxa"/>
          </w:tcPr>
          <w:p w:rsidR="00E67806" w:rsidRDefault="00207897" w:rsidP="00E67806">
            <w:r>
              <w:t xml:space="preserve">Treats enterococcus </w:t>
            </w:r>
            <w:r>
              <w:br/>
              <w:t>(even VRE)</w:t>
            </w:r>
          </w:p>
        </w:tc>
        <w:tc>
          <w:tcPr>
            <w:tcW w:w="4860" w:type="dxa"/>
          </w:tcPr>
          <w:p w:rsidR="00E67806" w:rsidRPr="00207897" w:rsidRDefault="00207897" w:rsidP="00E67806">
            <w:r>
              <w:t xml:space="preserve">High rates of </w:t>
            </w:r>
            <w:r>
              <w:rPr>
                <w:i/>
              </w:rPr>
              <w:t>E. coli</w:t>
            </w:r>
            <w:r>
              <w:t xml:space="preserve"> resistance, avoid empiric use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r>
              <w:t>Amoxicillin/clavulanate</w:t>
            </w:r>
          </w:p>
        </w:tc>
        <w:tc>
          <w:tcPr>
            <w:tcW w:w="2880" w:type="dxa"/>
          </w:tcPr>
          <w:p w:rsidR="00E67806" w:rsidRDefault="00E67806" w:rsidP="00E67806"/>
        </w:tc>
        <w:tc>
          <w:tcPr>
            <w:tcW w:w="4860" w:type="dxa"/>
          </w:tcPr>
          <w:p w:rsidR="00E67806" w:rsidRDefault="00207897" w:rsidP="00E67806">
            <w:r>
              <w:t xml:space="preserve">High rates of </w:t>
            </w:r>
            <w:r>
              <w:rPr>
                <w:i/>
              </w:rPr>
              <w:t>E. coli</w:t>
            </w:r>
            <w:r>
              <w:t xml:space="preserve"> resistance</w:t>
            </w:r>
            <w:r>
              <w:t>, avoid empiric use</w:t>
            </w:r>
          </w:p>
        </w:tc>
      </w:tr>
      <w:tr w:rsidR="00207897" w:rsidTr="00207897">
        <w:tc>
          <w:tcPr>
            <w:tcW w:w="2610" w:type="dxa"/>
          </w:tcPr>
          <w:p w:rsidR="00E67806" w:rsidRDefault="00E67806" w:rsidP="00E67806">
            <w:r>
              <w:t>Cefazolin</w:t>
            </w:r>
          </w:p>
        </w:tc>
        <w:tc>
          <w:tcPr>
            <w:tcW w:w="2880" w:type="dxa"/>
          </w:tcPr>
          <w:p w:rsidR="00E67806" w:rsidRDefault="00207897" w:rsidP="00E67806">
            <w:r>
              <w:t>Well-tolerated</w:t>
            </w:r>
          </w:p>
        </w:tc>
        <w:tc>
          <w:tcPr>
            <w:tcW w:w="4860" w:type="dxa"/>
          </w:tcPr>
          <w:p w:rsidR="00E67806" w:rsidRDefault="00207897" w:rsidP="00E67806">
            <w:r>
              <w:t>Frequency of dosing, consider cefadroxil (BID)</w:t>
            </w:r>
          </w:p>
          <w:p w:rsidR="00207897" w:rsidRDefault="00207897" w:rsidP="00E67806">
            <w:r>
              <w:t>May be less effective vs. FQ or Sulfa</w:t>
            </w:r>
          </w:p>
        </w:tc>
      </w:tr>
    </w:tbl>
    <w:p w:rsidR="00E67806" w:rsidRDefault="00E67806" w:rsidP="00E67806"/>
    <w:p w:rsidR="009F35F7" w:rsidRPr="009F35F7" w:rsidRDefault="009F35F7" w:rsidP="00E67806">
      <w:pPr>
        <w:rPr>
          <w:b/>
          <w:u w:val="single"/>
        </w:rPr>
      </w:pPr>
      <w:r>
        <w:rPr>
          <w:b/>
          <w:u w:val="single"/>
        </w:rPr>
        <w:t xml:space="preserve">References: </w:t>
      </w:r>
    </w:p>
    <w:p w:rsidR="00A549C6" w:rsidRDefault="00914F79" w:rsidP="00E67806">
      <w:r>
        <w:t>1.</w:t>
      </w:r>
      <w:r w:rsidR="00A549C6">
        <w:t xml:space="preserve"> </w:t>
      </w:r>
      <w:proofErr w:type="spellStart"/>
      <w:r w:rsidR="00A549C6">
        <w:t>Nitzan</w:t>
      </w:r>
      <w:proofErr w:type="spellEnd"/>
      <w:r w:rsidR="00A549C6">
        <w:t xml:space="preserve"> O, Elias M, Chazan B, </w:t>
      </w:r>
      <w:proofErr w:type="spellStart"/>
      <w:r w:rsidR="00A549C6">
        <w:t>Saliba</w:t>
      </w:r>
      <w:proofErr w:type="spellEnd"/>
      <w:r w:rsidR="00A549C6">
        <w:t xml:space="preserve"> W. Urinary tract infections in </w:t>
      </w:r>
      <w:r w:rsidR="0070154E">
        <w:t>patients</w:t>
      </w:r>
      <w:r w:rsidR="00A549C6">
        <w:t xml:space="preserve"> with type 2 diabetes mellitus: review of prevalence, diagnosis, and management. Diabetes </w:t>
      </w:r>
      <w:proofErr w:type="spellStart"/>
      <w:r w:rsidR="00A549C6">
        <w:t>Metab</w:t>
      </w:r>
      <w:proofErr w:type="spellEnd"/>
      <w:r w:rsidR="00A549C6">
        <w:t xml:space="preserve"> </w:t>
      </w:r>
      <w:proofErr w:type="spellStart"/>
      <w:r w:rsidR="00A549C6">
        <w:t>Syndr</w:t>
      </w:r>
      <w:proofErr w:type="spellEnd"/>
      <w:r w:rsidR="00A549C6">
        <w:t xml:space="preserve"> </w:t>
      </w:r>
      <w:proofErr w:type="spellStart"/>
      <w:r w:rsidR="00A549C6">
        <w:t>Obes</w:t>
      </w:r>
      <w:proofErr w:type="spellEnd"/>
      <w:r w:rsidR="00A549C6">
        <w:t xml:space="preserve"> </w:t>
      </w:r>
      <w:proofErr w:type="gramStart"/>
      <w:r w:rsidR="00A549C6">
        <w:t>2015;8:129</w:t>
      </w:r>
      <w:proofErr w:type="gramEnd"/>
      <w:r w:rsidR="00A549C6">
        <w:t>-36.</w:t>
      </w:r>
    </w:p>
    <w:p w:rsidR="009F35F7" w:rsidRDefault="009F35F7" w:rsidP="00E67806">
      <w:r>
        <w:t xml:space="preserve">2. Harding GK, </w:t>
      </w:r>
      <w:proofErr w:type="spellStart"/>
      <w:r>
        <w:t>Zhanel</w:t>
      </w:r>
      <w:proofErr w:type="spellEnd"/>
      <w:r>
        <w:t xml:space="preserve"> GG, Nicolle LE, et al. Antimicrobial treatment in diabetic women with asymptomatic bacteriuria. N </w:t>
      </w:r>
      <w:proofErr w:type="spellStart"/>
      <w:r>
        <w:t>Engl</w:t>
      </w:r>
      <w:proofErr w:type="spellEnd"/>
      <w:r>
        <w:t xml:space="preserve"> J Med 2002; 347(20):1576-83.</w:t>
      </w:r>
    </w:p>
    <w:p w:rsidR="00914F79" w:rsidRDefault="009F35F7" w:rsidP="00E67806">
      <w:r>
        <w:t>3</w:t>
      </w:r>
      <w:r w:rsidR="00A549C6">
        <w:t xml:space="preserve">. </w:t>
      </w:r>
      <w:r w:rsidR="00F55E84">
        <w:t xml:space="preserve">Jacobson S, Junco </w:t>
      </w:r>
      <w:proofErr w:type="spellStart"/>
      <w:r w:rsidR="00F55E84">
        <w:t>Noa</w:t>
      </w:r>
      <w:proofErr w:type="spellEnd"/>
      <w:r w:rsidR="00F55E84">
        <w:t xml:space="preserve"> L, Ahmed S, Wallace MR. Efficacy and safety of oral </w:t>
      </w:r>
      <w:proofErr w:type="spellStart"/>
      <w:r w:rsidR="00F55E84">
        <w:t>fosfomycin</w:t>
      </w:r>
      <w:proofErr w:type="spellEnd"/>
      <w:r w:rsidR="00F55E84">
        <w:t xml:space="preserve"> for urinary tract infections in hospitalized patients. </w:t>
      </w:r>
      <w:proofErr w:type="spellStart"/>
      <w:r w:rsidR="00F55E84">
        <w:t>Antimicrob</w:t>
      </w:r>
      <w:proofErr w:type="spellEnd"/>
      <w:r w:rsidR="00F55E84">
        <w:t xml:space="preserve"> Agents </w:t>
      </w:r>
      <w:proofErr w:type="spellStart"/>
      <w:r w:rsidR="00F55E84">
        <w:t>Chemother</w:t>
      </w:r>
      <w:proofErr w:type="spellEnd"/>
      <w:r w:rsidR="00F55E84">
        <w:t xml:space="preserve"> 2016; 60:1952.</w:t>
      </w:r>
    </w:p>
    <w:p w:rsidR="00914F79" w:rsidRDefault="009F35F7" w:rsidP="00E67806">
      <w:r>
        <w:t>4</w:t>
      </w:r>
      <w:r w:rsidR="00914F79">
        <w:t xml:space="preserve">. </w:t>
      </w:r>
      <w:proofErr w:type="spellStart"/>
      <w:r w:rsidR="00F55E84">
        <w:t>Bleasdale</w:t>
      </w:r>
      <w:proofErr w:type="spellEnd"/>
      <w:r w:rsidR="00F55E84">
        <w:t xml:space="preserve"> S, </w:t>
      </w:r>
      <w:proofErr w:type="spellStart"/>
      <w:r w:rsidR="00F55E84">
        <w:t>Wenzler</w:t>
      </w:r>
      <w:proofErr w:type="spellEnd"/>
      <w:r w:rsidR="00F55E84">
        <w:t xml:space="preserve"> E, </w:t>
      </w:r>
      <w:proofErr w:type="spellStart"/>
      <w:r w:rsidR="00F55E84">
        <w:t>Sikka</w:t>
      </w:r>
      <w:proofErr w:type="spellEnd"/>
      <w:r w:rsidR="00F55E84">
        <w:t xml:space="preserve"> M, et al. </w:t>
      </w:r>
      <w:r w:rsidR="00F55E84">
        <w:t xml:space="preserve">Phase I Study </w:t>
      </w:r>
      <w:proofErr w:type="gramStart"/>
      <w:r w:rsidR="00F55E84">
        <w:t>To</w:t>
      </w:r>
      <w:proofErr w:type="gramEnd"/>
      <w:r w:rsidR="00F55E84">
        <w:t xml:space="preserve"> Evaluate The Safety And Tolerability Of Two Dosing Regimens Of Oral </w:t>
      </w:r>
      <w:proofErr w:type="spellStart"/>
      <w:r w:rsidR="00F55E84">
        <w:t>Fosfomycin</w:t>
      </w:r>
      <w:proofErr w:type="spellEnd"/>
      <w:r w:rsidR="00F55E84">
        <w:t xml:space="preserve"> Tromethamine In Healthy Adult Participants</w:t>
      </w:r>
      <w:r w:rsidR="00F55E84">
        <w:t xml:space="preserve">. Presentation 1880. </w:t>
      </w:r>
      <w:proofErr w:type="spellStart"/>
      <w:r w:rsidR="00F55E84">
        <w:t>IDWeek</w:t>
      </w:r>
      <w:proofErr w:type="spellEnd"/>
      <w:r w:rsidR="00F55E84">
        <w:t xml:space="preserve"> 2017, San Diego, CA.</w:t>
      </w:r>
    </w:p>
    <w:p w:rsidR="00914F79" w:rsidRPr="00705935" w:rsidRDefault="009F35F7" w:rsidP="00E67806">
      <w:r>
        <w:t>5</w:t>
      </w:r>
      <w:r w:rsidR="00914F79">
        <w:t xml:space="preserve">. Aspinall SL, Good CB, </w:t>
      </w:r>
      <w:proofErr w:type="spellStart"/>
      <w:r w:rsidR="00914F79">
        <w:t>Rong</w:t>
      </w:r>
      <w:proofErr w:type="spellEnd"/>
      <w:r w:rsidR="00914F79">
        <w:t xml:space="preserve"> J, et al. Severe </w:t>
      </w:r>
      <w:proofErr w:type="spellStart"/>
      <w:r w:rsidR="00914F79">
        <w:t>dysglycemia</w:t>
      </w:r>
      <w:proofErr w:type="spellEnd"/>
      <w:r w:rsidR="00914F79">
        <w:t xml:space="preserve"> with the fluoroquinolones: A class effect? </w:t>
      </w:r>
      <w:proofErr w:type="spellStart"/>
      <w:r w:rsidR="00914F79">
        <w:t>Clin</w:t>
      </w:r>
      <w:proofErr w:type="spellEnd"/>
      <w:r w:rsidR="00914F79">
        <w:t xml:space="preserve"> Infect Dis 2009; 49(3):402-08.</w:t>
      </w:r>
    </w:p>
    <w:sectPr w:rsidR="00914F79" w:rsidRPr="007059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E52" w:rsidRDefault="006E5E52" w:rsidP="006E5E52">
      <w:r>
        <w:separator/>
      </w:r>
    </w:p>
  </w:endnote>
  <w:endnote w:type="continuationSeparator" w:id="0">
    <w:p w:rsidR="006E5E52" w:rsidRDefault="006E5E52" w:rsidP="006E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E52" w:rsidRDefault="006E5E52" w:rsidP="006E5E52">
      <w:r>
        <w:separator/>
      </w:r>
    </w:p>
  </w:footnote>
  <w:footnote w:type="continuationSeparator" w:id="0">
    <w:p w:rsidR="006E5E52" w:rsidRDefault="006E5E52" w:rsidP="006E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52" w:rsidRDefault="00406590" w:rsidP="006E5E52">
    <w:pPr>
      <w:pStyle w:val="Header"/>
      <w:jc w:val="right"/>
    </w:pPr>
    <w:r w:rsidRPr="00470ED8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7F8C8A2" wp14:editId="5E35B6B5">
          <wp:simplePos x="0" y="0"/>
          <wp:positionH relativeFrom="page">
            <wp:posOffset>304800</wp:posOffset>
          </wp:positionH>
          <wp:positionV relativeFrom="page">
            <wp:posOffset>200025</wp:posOffset>
          </wp:positionV>
          <wp:extent cx="1778000" cy="533400"/>
          <wp:effectExtent l="0" t="0" r="0" b="0"/>
          <wp:wrapSquare wrapText="bothSides"/>
          <wp:docPr id="4" name="Picture 1" descr="UW TASP_LogoExploration_RGB_Color_EC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W TASP_LogoExploration_RGB_Color_ECH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="006E5E52">
      <w:t>[Updated 11/13/17</w:t>
    </w:r>
    <w:r>
      <w:t>, ZKE</w:t>
    </w:r>
    <w:r w:rsidR="006E5E52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A90"/>
    <w:multiLevelType w:val="hybridMultilevel"/>
    <w:tmpl w:val="6FA4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5"/>
    <w:rsid w:val="00207897"/>
    <w:rsid w:val="00406590"/>
    <w:rsid w:val="004362EF"/>
    <w:rsid w:val="005515FD"/>
    <w:rsid w:val="00605E10"/>
    <w:rsid w:val="006E5E52"/>
    <w:rsid w:val="0070154E"/>
    <w:rsid w:val="00705935"/>
    <w:rsid w:val="00897A08"/>
    <w:rsid w:val="00914F79"/>
    <w:rsid w:val="009F35F7"/>
    <w:rsid w:val="00A549C6"/>
    <w:rsid w:val="00E67806"/>
    <w:rsid w:val="00F55E84"/>
    <w:rsid w:val="00F626A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AA00"/>
  <w15:chartTrackingRefBased/>
  <w15:docId w15:val="{B10DB874-AB5A-4B74-921B-98A5A2A2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9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35"/>
    <w:pPr>
      <w:ind w:left="720"/>
      <w:contextualSpacing/>
    </w:pPr>
  </w:style>
  <w:style w:type="table" w:styleId="TableGrid">
    <w:name w:val="Table Grid"/>
    <w:basedOn w:val="TableNormal"/>
    <w:uiPriority w:val="39"/>
    <w:rsid w:val="00E6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5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5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Escobar</dc:creator>
  <cp:keywords/>
  <dc:description/>
  <cp:lastModifiedBy>Zahra Escobar</cp:lastModifiedBy>
  <cp:revision>4</cp:revision>
  <dcterms:created xsi:type="dcterms:W3CDTF">2017-11-13T19:37:00Z</dcterms:created>
  <dcterms:modified xsi:type="dcterms:W3CDTF">2017-11-13T22:05:00Z</dcterms:modified>
</cp:coreProperties>
</file>