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926EF" w:rsidP="538736AC" w:rsidRDefault="00506C39" w14:textId="77777777" w14:paraId="64420833" w14:noSpellErr="1">
      <w:pPr>
        <w:rPr>
          <w:b w:val="1"/>
          <w:bCs w:val="1"/>
          <w:sz w:val="32"/>
          <w:szCs w:val="32"/>
        </w:rPr>
      </w:pPr>
      <w:r w:rsidRPr="00506C39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C1E7AEF" wp14:editId="285EF7A5">
            <wp:simplePos x="0" y="0"/>
            <wp:positionH relativeFrom="margin">
              <wp:posOffset>-571500</wp:posOffset>
            </wp:positionH>
            <wp:positionV relativeFrom="margin">
              <wp:posOffset>-342900</wp:posOffset>
            </wp:positionV>
            <wp:extent cx="3657600" cy="1097280"/>
            <wp:effectExtent l="0" t="0" r="0" b="0"/>
            <wp:wrapSquare wrapText="bothSides"/>
            <wp:docPr id="2" name="Picture 1" descr="UW TASP_LogoExploration_RGB_Color_EC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UW TASP_LogoExploration_RGB_Color_ECHO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38736AC" w:rsidR="538736AC">
        <w:rPr>
          <w:b w:val="1"/>
          <w:bCs w:val="1"/>
          <w:sz w:val="32"/>
          <w:szCs w:val="32"/>
        </w:rPr>
        <w:t/>
      </w:r>
    </w:p>
    <w:p w:rsidR="00597B0B" w:rsidP="000926EF" w:rsidRDefault="00597B0B" w14:paraId="54417DF8" w14:textId="77777777">
      <w:pPr>
        <w:rPr>
          <w:rFonts w:ascii="Times New Roman" w:hAnsi="Times New Roman" w:cs="Times New Roman"/>
          <w:b/>
          <w:sz w:val="32"/>
          <w:szCs w:val="32"/>
        </w:rPr>
      </w:pPr>
    </w:p>
    <w:p w:rsidRPr="00506C39" w:rsidR="002B5B18" w:rsidP="000926EF" w:rsidRDefault="00B96371" w14:paraId="6F8A6D14" w14:textId="777777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Session Summary</w:t>
      </w:r>
    </w:p>
    <w:p w:rsidRPr="00506C39" w:rsidR="002B5B18" w:rsidP="000926EF" w:rsidRDefault="002B5B18" w14:paraId="2C879E3D" w14:textId="77777777">
      <w:pPr>
        <w:rPr>
          <w:rFonts w:ascii="Times New Roman" w:hAnsi="Times New Roman" w:cs="Times New Roman"/>
          <w:b/>
          <w:sz w:val="22"/>
          <w:szCs w:val="22"/>
        </w:rPr>
      </w:pPr>
    </w:p>
    <w:p w:rsidRPr="00506C39" w:rsidR="00DB188F" w:rsidP="00CF01DF" w:rsidRDefault="000926EF" w14:paraId="69CE5B4E" w14:textId="48B27488">
      <w:pPr>
        <w:rPr>
          <w:rFonts w:ascii="Times New Roman" w:hAnsi="Times New Roman" w:cs="Times New Roman"/>
        </w:rPr>
      </w:pPr>
      <w:r w:rsidRPr="00490678">
        <w:rPr>
          <w:rFonts w:ascii="Times New Roman" w:hAnsi="Times New Roman" w:cs="Times New Roman"/>
          <w:b/>
          <w:sz w:val="32"/>
          <w:szCs w:val="32"/>
        </w:rPr>
        <w:t>Date:</w:t>
      </w:r>
      <w:r w:rsidRPr="00506C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22AF">
        <w:rPr>
          <w:rFonts w:ascii="Times New Roman" w:hAnsi="Times New Roman" w:cs="Times New Roman"/>
          <w:b/>
          <w:sz w:val="32"/>
          <w:szCs w:val="32"/>
        </w:rPr>
        <w:t>9/11/</w:t>
      </w:r>
      <w:r w:rsidR="00B96371">
        <w:rPr>
          <w:rFonts w:ascii="Times New Roman" w:hAnsi="Times New Roman" w:cs="Times New Roman"/>
          <w:b/>
          <w:sz w:val="32"/>
          <w:szCs w:val="32"/>
        </w:rPr>
        <w:t>2018</w:t>
      </w:r>
    </w:p>
    <w:p w:rsidRPr="00506C39" w:rsidR="00DB188F" w:rsidP="00DB188F" w:rsidRDefault="00DB188F" w14:paraId="2C91B4AD" w14:textId="77777777">
      <w:pPr>
        <w:rPr>
          <w:rFonts w:ascii="Times New Roman" w:hAnsi="Times New Roman" w:cs="Times New Roman"/>
        </w:rPr>
      </w:pPr>
    </w:p>
    <w:p w:rsidR="538736AC" w:rsidP="538736AC" w:rsidRDefault="538736AC" w14:paraId="12557CFF" w14:textId="3693B5EB">
      <w:pPr>
        <w:pStyle w:val="Normal"/>
        <w:rPr>
          <w:rFonts w:ascii="Times New Roman" w:hAnsi="Times New Roman" w:cs="Times New Roman"/>
          <w:color w:val="000000" w:themeColor="text1" w:themeTint="FF" w:themeShade="FF"/>
        </w:rPr>
      </w:pPr>
      <w:r w:rsidRPr="538736AC" w:rsidR="538736AC">
        <w:rPr>
          <w:rFonts w:ascii="Times New Roman" w:hAnsi="Times New Roman" w:cs="Times New Roman"/>
          <w:u w:val="single"/>
        </w:rPr>
        <w:t>Didactic Session: Non-Antibiotic Prescription</w:t>
      </w:r>
      <w:r w:rsidRPr="538736AC" w:rsidR="538736AC">
        <w:rPr>
          <w:rFonts w:ascii="Times New Roman" w:hAnsi="Times New Roman" w:cs="Times New Roman"/>
          <w:u w:val="single"/>
        </w:rPr>
        <w:t xml:space="preserve"> </w:t>
      </w:r>
      <w:r w:rsidRPr="538736AC" w:rsidR="538736AC">
        <w:rPr>
          <w:rFonts w:ascii="Times New Roman" w:hAnsi="Times New Roman" w:cs="Times New Roman"/>
          <w:u w:val="single"/>
        </w:rPr>
        <w:t xml:space="preserve">- </w:t>
      </w:r>
      <w:r w:rsidRPr="538736AC" w:rsidR="538736AC">
        <w:rPr>
          <w:rFonts w:ascii="Times New Roman" w:hAnsi="Times New Roman" w:cs="Times New Roman"/>
          <w:color w:val="000000" w:themeColor="text1" w:themeTint="FF" w:themeShade="FF"/>
          <w:u w:val="single"/>
        </w:rPr>
        <w:t xml:space="preserve">Zahra </w:t>
      </w:r>
      <w:proofErr w:type="spellStart"/>
      <w:r w:rsidRPr="538736AC" w:rsidR="538736AC">
        <w:rPr>
          <w:rFonts w:ascii="Times New Roman" w:hAnsi="Times New Roman" w:cs="Times New Roman"/>
          <w:color w:val="000000" w:themeColor="text1" w:themeTint="FF" w:themeShade="FF"/>
          <w:u w:val="single"/>
        </w:rPr>
        <w:t>Kassamali</w:t>
      </w:r>
      <w:proofErr w:type="spellEnd"/>
      <w:r w:rsidRPr="538736AC" w:rsidR="538736AC">
        <w:rPr>
          <w:rFonts w:ascii="Times New Roman" w:hAnsi="Times New Roman" w:cs="Times New Roman"/>
          <w:color w:val="000000" w:themeColor="text1" w:themeTint="FF" w:themeShade="FF"/>
          <w:u w:val="single"/>
        </w:rPr>
        <w:t xml:space="preserve"> Escobar, PharmD</w:t>
      </w:r>
    </w:p>
    <w:p w:rsidR="00B96371" w:rsidP="00DB188F" w:rsidRDefault="00B96371" w14:paraId="12C0D815" w14:textId="77777777">
      <w:pPr>
        <w:rPr>
          <w:rFonts w:ascii="Times New Roman" w:hAnsi="Times New Roman" w:cs="Times New Roman"/>
        </w:rPr>
      </w:pPr>
    </w:p>
    <w:p w:rsidR="00B96371" w:rsidP="00B96371" w:rsidRDefault="007A22AF" w14:paraId="0B2E5BE6" w14:textId="64CDB92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538736AC" w:rsidR="538736AC">
        <w:rPr>
          <w:rFonts w:ascii="Times New Roman" w:hAnsi="Times New Roman" w:cs="Times New Roman"/>
        </w:rPr>
        <w:t xml:space="preserve">Non-antibiotic approaches to treatment include rest, rehydration, pain control, and other OTC symptom-controlling therapies </w:t>
      </w:r>
    </w:p>
    <w:p w:rsidR="007A22AF" w:rsidP="00B96371" w:rsidRDefault="007A22AF" w14:paraId="43447A10" w14:textId="31C0B28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538736AC" w:rsidR="538736AC">
        <w:rPr>
          <w:rFonts w:ascii="Times New Roman" w:hAnsi="Times New Roman" w:cs="Times New Roman"/>
        </w:rPr>
        <w:t xml:space="preserve">On the inpatient side: can consider delaying initiation of antibiotics during diagnostic work-up IF the patient is clinically stable </w:t>
      </w:r>
    </w:p>
    <w:p w:rsidR="007A22AF" w:rsidP="007A22AF" w:rsidRDefault="007A22AF" w14:paraId="488DF0B6" w14:textId="1445BEDA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show that risk of delay is minimal in stable patients</w:t>
      </w:r>
      <w:r>
        <w:rPr>
          <w:rFonts w:ascii="Times New Roman" w:hAnsi="Times New Roman" w:cs="Times New Roman"/>
          <w:vertAlign w:val="superscript"/>
        </w:rPr>
        <w:t>1</w:t>
      </w:r>
    </w:p>
    <w:p w:rsidR="007A22AF" w:rsidP="007A22AF" w:rsidRDefault="007A22AF" w14:paraId="7EB1C282" w14:textId="05657DD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538736AC" w:rsidR="538736AC">
        <w:rPr>
          <w:rFonts w:ascii="Times New Roman" w:hAnsi="Times New Roman" w:cs="Times New Roman"/>
        </w:rPr>
        <w:t>Tools to reduce unnecessary antibiotic use on the inpatient side</w:t>
      </w:r>
    </w:p>
    <w:p w:rsidR="007A22AF" w:rsidP="007A22AF" w:rsidRDefault="007A22AF" w14:paraId="27704854" w14:textId="219A0437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Rapid diagnostics</w:t>
      </w:r>
    </w:p>
    <w:p w:rsidR="007A22AF" w:rsidP="007A22AF" w:rsidRDefault="007A22AF" w14:paraId="33E88200" w14:textId="1A553835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Censoring urine culture results for non-</w:t>
      </w:r>
      <w:proofErr w:type="spellStart"/>
      <w:r>
        <w:rPr>
          <w:rFonts w:ascii="Times New Roman" w:hAnsi="Times New Roman" w:cs="Times New Roman"/>
        </w:rPr>
        <w:t>cath</w:t>
      </w:r>
      <w:proofErr w:type="spellEnd"/>
      <w:r>
        <w:rPr>
          <w:rFonts w:ascii="Times New Roman" w:hAnsi="Times New Roman" w:cs="Times New Roman"/>
        </w:rPr>
        <w:t xml:space="preserve"> medical/surgical inpatients.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This may not be an option for your lab, depending upon reporting requirements</w:t>
      </w:r>
      <w:r w:rsidR="00817C1C">
        <w:rPr>
          <w:rFonts w:ascii="Times New Roman" w:hAnsi="Times New Roman" w:cs="Times New Roman"/>
        </w:rPr>
        <w:t>.</w:t>
      </w:r>
    </w:p>
    <w:p w:rsidR="007A22AF" w:rsidP="007A22AF" w:rsidRDefault="007A22AF" w14:paraId="2CA07AAA" w14:textId="52B76C9D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Empowering nurses to evaluate major and minor criteria for UTI before calling prescriber to order antibiotics and urine culture </w:t>
      </w:r>
    </w:p>
    <w:p w:rsidR="007A22AF" w:rsidP="00B96371" w:rsidRDefault="007A22AF" w14:paraId="2AF1CEE8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538736AC" w:rsidR="538736AC">
        <w:rPr>
          <w:rFonts w:ascii="Times New Roman" w:hAnsi="Times New Roman" w:cs="Times New Roman"/>
        </w:rPr>
        <w:t>Outpatient strategies</w:t>
      </w:r>
    </w:p>
    <w:p w:rsidR="007A22AF" w:rsidP="007A22AF" w:rsidRDefault="007A22AF" w14:paraId="0A6C37FB" w14:textId="77777777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Delayed prescription</w:t>
      </w:r>
    </w:p>
    <w:p w:rsidR="007A22AF" w:rsidP="007A22AF" w:rsidRDefault="007A22AF" w14:paraId="170C7120" w14:textId="4D426EAE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Randomized controlled data showed that for uncomplicated UTI, 50% of women 18-20 years old improved without antibiotics. However, 50% required antibiotic treatment, and 7 (4%) progressed to pyelonephritis when cystitis was treated with ibuprofen rather than an antibiotic</w:t>
      </w:r>
      <w:r w:rsidR="00817C1C">
        <w:rPr>
          <w:rFonts w:ascii="Times New Roman" w:hAnsi="Times New Roman" w:cs="Times New Roman"/>
        </w:rPr>
        <w:t>.</w:t>
      </w:r>
      <w:r w:rsidR="00817C1C">
        <w:rPr>
          <w:rFonts w:ascii="Times New Roman" w:hAnsi="Times New Roman" w:cs="Times New Roman"/>
          <w:vertAlign w:val="superscript"/>
        </w:rPr>
        <w:t>3</w:t>
      </w:r>
    </w:p>
    <w:p w:rsidR="007A22AF" w:rsidP="007A22AF" w:rsidRDefault="007A22AF" w14:paraId="3DB86ADF" w14:textId="7B5B1290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Delayed prescribing may be a strategy for uncomplicated UTI</w:t>
      </w:r>
    </w:p>
    <w:p w:rsidR="007A22AF" w:rsidP="007A22AF" w:rsidRDefault="007A22AF" w14:paraId="6FE42B8D" w14:textId="4042B6EC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Delayed prescriptions are available for upper respiratory tract infections from CDC website</w:t>
      </w:r>
    </w:p>
    <w:p w:rsidR="007A22AF" w:rsidP="007A22AF" w:rsidRDefault="007A22AF" w14:paraId="5A7041F1" w14:textId="34757EDA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Non-antibiotic prescription pad templates available in multiple languages from CDC – includes non-antibiotic strategies, OTC medications, rest, re-hydration and instructions to return to care if no signs of improvement</w:t>
      </w:r>
    </w:p>
    <w:p w:rsidR="007A22AF" w:rsidP="007A22AF" w:rsidRDefault="007A22AF" w14:paraId="1A9036A8" w14:textId="023675D2">
      <w:pPr>
        <w:pStyle w:val="ListParagraph"/>
        <w:numPr>
          <w:ilvl w:val="2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focus of these resources is on upper respiratory tract infections</w:t>
      </w:r>
    </w:p>
    <w:p w:rsidR="007A22AF" w:rsidP="538736AC" w:rsidRDefault="007A22AF" w14:paraId="309C470A" w14:textId="71A00177" w14:noSpellErr="1">
      <w:pPr>
        <w:rPr>
          <w:rFonts w:ascii="Times New Roman" w:hAnsi="Times New Roman" w:cs="Times New Roman"/>
          <w:color w:val="000000" w:themeColor="text1" w:themeTint="FF" w:themeShade="FF"/>
        </w:rPr>
      </w:pPr>
    </w:p>
    <w:p w:rsidR="538736AC" w:rsidP="538736AC" w:rsidRDefault="538736AC" w14:noSpellErr="1" w14:paraId="1FD7ECE9" w14:textId="74D5DF61">
      <w:pPr>
        <w:pStyle w:val="Normal"/>
        <w:rPr>
          <w:rFonts w:ascii="Times New Roman" w:hAnsi="Times New Roman" w:cs="Times New Roman"/>
          <w:color w:val="000000" w:themeColor="text1" w:themeTint="FF" w:themeShade="FF"/>
          <w:u w:val="single"/>
        </w:rPr>
      </w:pPr>
      <w:r w:rsidRPr="538736AC" w:rsidR="538736AC">
        <w:rPr>
          <w:rFonts w:ascii="Times New Roman" w:hAnsi="Times New Roman" w:cs="Times New Roman"/>
          <w:color w:val="000000" w:themeColor="text1" w:themeTint="FF" w:themeShade="FF"/>
          <w:u w:val="single"/>
        </w:rPr>
        <w:t>Discussion</w:t>
      </w:r>
    </w:p>
    <w:p w:rsidR="538736AC" w:rsidP="538736AC" w:rsidRDefault="538736AC" w14:noSpellErr="1" w14:paraId="656988E6">
      <w:pPr>
        <w:rPr>
          <w:rFonts w:ascii="Times New Roman" w:hAnsi="Times New Roman" w:cs="Times New Roman"/>
        </w:rPr>
      </w:pPr>
    </w:p>
    <w:p w:rsidR="538736AC" w:rsidP="538736AC" w:rsidRDefault="538736AC" w14:noSpellErr="1" w14:paraId="79A21054" w14:textId="56B4FFD1">
      <w:pPr>
        <w:pStyle w:val="ListParagraph"/>
        <w:numPr>
          <w:ilvl w:val="0"/>
          <w:numId w:val="35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538736AC" w:rsidR="538736AC">
        <w:rPr>
          <w:rFonts w:ascii="Times New Roman" w:hAnsi="Times New Roman" w:cs="Times New Roman"/>
        </w:rPr>
        <w:t>Other strategies to reduce antibiotic usage centered around diagnostic stewardship for decreasing inappropriate urine cultures</w:t>
      </w:r>
    </w:p>
    <w:p w:rsidR="538736AC" w:rsidP="538736AC" w:rsidRDefault="538736AC" w14:noSpellErr="1" w14:paraId="22F6608F" w14:textId="173F0ACB">
      <w:pPr>
        <w:pStyle w:val="ListParagraph"/>
        <w:numPr>
          <w:ilvl w:val="1"/>
          <w:numId w:val="3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sz w:val="24"/>
          <w:szCs w:val="24"/>
        </w:rPr>
      </w:pPr>
      <w:r w:rsidRPr="538736AC" w:rsidR="538736AC">
        <w:rPr>
          <w:rFonts w:ascii="Times New Roman" w:hAnsi="Times New Roman" w:cs="Times New Roman"/>
        </w:rPr>
        <w:t xml:space="preserve">Empowering </w:t>
      </w:r>
      <w:r w:rsidRPr="538736AC" w:rsidR="538736AC">
        <w:rPr>
          <w:rFonts w:ascii="Times New Roman" w:hAnsi="Times New Roman" w:cs="Times New Roman"/>
        </w:rPr>
        <w:t>nursing</w:t>
      </w:r>
      <w:r w:rsidRPr="538736AC" w:rsidR="538736AC">
        <w:rPr>
          <w:rFonts w:ascii="Times New Roman" w:hAnsi="Times New Roman" w:cs="Times New Roman"/>
        </w:rPr>
        <w:t xml:space="preserve"> through algorithmic based approach with criteria for when to contact the provider and potential alternative interventions</w:t>
      </w:r>
    </w:p>
    <w:p w:rsidR="538736AC" w:rsidP="538736AC" w:rsidRDefault="538736AC" w14:noSpellErr="1" w14:paraId="4A1C56C9" w14:textId="6C567233">
      <w:pPr>
        <w:pStyle w:val="ListParagraph"/>
        <w:numPr>
          <w:ilvl w:val="1"/>
          <w:numId w:val="3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sz w:val="24"/>
          <w:szCs w:val="24"/>
        </w:rPr>
      </w:pPr>
      <w:r w:rsidRPr="538736AC" w:rsidR="538736AC">
        <w:rPr>
          <w:rFonts w:ascii="Times New Roman" w:hAnsi="Times New Roman" w:cs="Times New Roman"/>
        </w:rPr>
        <w:t xml:space="preserve">UA with reflex culture </w:t>
      </w:r>
    </w:p>
    <w:p w:rsidR="538736AC" w:rsidP="538736AC" w:rsidRDefault="538736AC" w14:noSpellErr="1" w14:paraId="187C3BB1" w14:textId="33AAF08B">
      <w:pPr>
        <w:pStyle w:val="ListParagraph"/>
        <w:numPr>
          <w:ilvl w:val="0"/>
          <w:numId w:val="35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538736AC" w:rsidR="538736AC">
        <w:rPr>
          <w:rFonts w:ascii="Times New Roman" w:hAnsi="Times New Roman" w:cs="Times New Roman"/>
        </w:rPr>
        <w:t xml:space="preserve">Behavior/ mental status changes in the elderly in the </w:t>
      </w:r>
      <w:r w:rsidRPr="538736AC" w:rsidR="538736AC">
        <w:rPr>
          <w:rFonts w:ascii="Times New Roman" w:hAnsi="Times New Roman" w:cs="Times New Roman"/>
        </w:rPr>
        <w:t>absence</w:t>
      </w:r>
      <w:r w:rsidRPr="538736AC" w:rsidR="538736AC">
        <w:rPr>
          <w:rFonts w:ascii="Times New Roman" w:hAnsi="Times New Roman" w:cs="Times New Roman"/>
        </w:rPr>
        <w:t xml:space="preserve"> of urinary symptoms are usually NOT due to UTI</w:t>
      </w:r>
    </w:p>
    <w:p w:rsidR="538736AC" w:rsidP="538736AC" w:rsidRDefault="538736AC" w14:noSpellErr="1" w14:paraId="3CB4B5C3" w14:textId="23C85C22">
      <w:pPr>
        <w:pStyle w:val="ListParagraph"/>
        <w:numPr>
          <w:ilvl w:val="1"/>
          <w:numId w:val="3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sz w:val="24"/>
          <w:szCs w:val="24"/>
        </w:rPr>
      </w:pPr>
      <w:r w:rsidRPr="538736AC" w:rsidR="538736AC">
        <w:rPr>
          <w:rFonts w:ascii="Times New Roman" w:hAnsi="Times New Roman" w:cs="Times New Roman"/>
        </w:rPr>
        <w:t xml:space="preserve">Checking the urine in this scenario leads to </w:t>
      </w:r>
      <w:r w:rsidRPr="538736AC" w:rsidR="538736AC">
        <w:rPr>
          <w:rFonts w:ascii="Times New Roman" w:hAnsi="Times New Roman" w:cs="Times New Roman"/>
        </w:rPr>
        <w:t>antibiotic overuse</w:t>
      </w:r>
      <w:r w:rsidRPr="538736AC" w:rsidR="538736AC">
        <w:rPr>
          <w:rFonts w:ascii="Times New Roman" w:hAnsi="Times New Roman" w:cs="Times New Roman"/>
        </w:rPr>
        <w:t xml:space="preserve"> and possible patient harm due to missing the true cause</w:t>
      </w:r>
    </w:p>
    <w:p w:rsidR="538736AC" w:rsidP="538736AC" w:rsidRDefault="538736AC" w14:noSpellErr="1" w14:paraId="6211E8EE" w14:textId="776059A3">
      <w:pPr>
        <w:pStyle w:val="ListParagraph"/>
        <w:numPr>
          <w:ilvl w:val="1"/>
          <w:numId w:val="3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sz w:val="24"/>
          <w:szCs w:val="24"/>
        </w:rPr>
      </w:pPr>
      <w:r w:rsidRPr="538736AC" w:rsidR="538736AC">
        <w:rPr>
          <w:rFonts w:ascii="Times New Roman" w:hAnsi="Times New Roman" w:cs="Times New Roman"/>
        </w:rPr>
        <w:t>Re-education needed for prescribers and nursing</w:t>
      </w:r>
    </w:p>
    <w:p w:rsidR="538736AC" w:rsidP="538736AC" w:rsidRDefault="538736AC" w14:noSpellErr="1" w14:paraId="5A15E702" w14:textId="7EFCDD8D">
      <w:pPr>
        <w:pStyle w:val="ListParagraph"/>
        <w:numPr>
          <w:ilvl w:val="1"/>
          <w:numId w:val="3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sz w:val="24"/>
          <w:szCs w:val="24"/>
        </w:rPr>
      </w:pPr>
      <w:r w:rsidRPr="535980EF" w:rsidR="535980EF">
        <w:rPr>
          <w:rFonts w:ascii="Times New Roman" w:hAnsi="Times New Roman" w:cs="Times New Roman"/>
        </w:rPr>
        <w:t>A powerful potential nursing intervention</w:t>
      </w:r>
    </w:p>
    <w:p w:rsidR="535980EF" w:rsidP="535980EF" w:rsidRDefault="535980EF" w14:noSpellErr="1" w14:paraId="488F8C40" w14:textId="268CABBA">
      <w:pPr>
        <w:pStyle w:val="ListParagraph"/>
        <w:numPr>
          <w:ilvl w:val="1"/>
          <w:numId w:val="3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sz w:val="24"/>
          <w:szCs w:val="24"/>
        </w:rPr>
      </w:pPr>
      <w:r w:rsidRPr="535980EF" w:rsidR="535980EF">
        <w:rPr>
          <w:rFonts w:ascii="Times New Roman" w:hAnsi="Times New Roman" w:cs="Times New Roman"/>
        </w:rPr>
        <w:t>Excellent review of UTI in older women notes a useful approach for evaluation in this setting including hydration and evalu</w:t>
      </w:r>
      <w:r w:rsidRPr="535980EF" w:rsidR="535980EF">
        <w:rPr>
          <w:rFonts w:ascii="Times New Roman" w:hAnsi="Times New Roman" w:cs="Times New Roman"/>
        </w:rPr>
        <w:t>a</w:t>
      </w:r>
      <w:r w:rsidRPr="535980EF" w:rsidR="535980EF">
        <w:rPr>
          <w:rFonts w:ascii="Times New Roman" w:hAnsi="Times New Roman" w:cs="Times New Roman"/>
        </w:rPr>
        <w:t>tion for other causes.</w:t>
      </w:r>
      <w:r w:rsidRPr="535980EF" w:rsidR="535980EF">
        <w:rPr>
          <w:rFonts w:ascii="Times New Roman" w:hAnsi="Times New Roman" w:cs="Times New Roman"/>
          <w:vertAlign w:val="superscript"/>
        </w:rPr>
        <w:t xml:space="preserve">4 </w:t>
      </w:r>
    </w:p>
    <w:p w:rsidR="538736AC" w:rsidP="538736AC" w:rsidRDefault="538736AC" w14:noSpellErr="1" w14:paraId="1A23742C" w14:textId="3BE684A8">
      <w:pPr>
        <w:pStyle w:val="Normal"/>
        <w:rPr>
          <w:rFonts w:ascii="Times New Roman" w:hAnsi="Times New Roman" w:cs="Times New Roman"/>
          <w:color w:val="000000" w:themeColor="text1" w:themeTint="FF" w:themeShade="FF"/>
          <w:u w:val="single"/>
        </w:rPr>
      </w:pPr>
    </w:p>
    <w:p w:rsidR="538736AC" w:rsidP="538736AC" w:rsidRDefault="538736AC" w14:noSpellErr="1" w14:paraId="6324C13E" w14:textId="12DB631E">
      <w:pPr>
        <w:pStyle w:val="Normal"/>
        <w:rPr>
          <w:rFonts w:ascii="Times New Roman" w:hAnsi="Times New Roman" w:cs="Times New Roman"/>
          <w:color w:val="000000" w:themeColor="text1" w:themeTint="FF" w:themeShade="FF"/>
          <w:u w:val="single"/>
        </w:rPr>
      </w:pPr>
      <w:r w:rsidRPr="538736AC" w:rsidR="538736AC">
        <w:rPr>
          <w:rFonts w:ascii="Times New Roman" w:hAnsi="Times New Roman" w:cs="Times New Roman"/>
          <w:color w:val="000000" w:themeColor="text1" w:themeTint="FF" w:themeShade="FF"/>
          <w:u w:val="single"/>
        </w:rPr>
        <w:t>Cases</w:t>
      </w:r>
    </w:p>
    <w:p w:rsidR="538736AC" w:rsidP="538736AC" w:rsidRDefault="538736AC" w14:noSpellErr="1" w14:paraId="59DBBB0F" w14:textId="28BF9897">
      <w:pPr>
        <w:pStyle w:val="Normal"/>
        <w:rPr>
          <w:rFonts w:ascii="Times New Roman" w:hAnsi="Times New Roman" w:cs="Times New Roman"/>
        </w:rPr>
      </w:pPr>
      <w:r w:rsidRPr="538736AC" w:rsidR="538736AC">
        <w:rPr>
          <w:rFonts w:ascii="Times New Roman" w:hAnsi="Times New Roman" w:cs="Times New Roman"/>
          <w:b w:val="0"/>
          <w:bCs w:val="0"/>
          <w:i w:val="0"/>
          <w:iCs w:val="0"/>
        </w:rPr>
        <w:t>Beware – bacterial names are changing as taxonomists get more sophisticated</w:t>
      </w:r>
    </w:p>
    <w:p w:rsidR="538736AC" w:rsidP="538736AC" w:rsidRDefault="538736AC" w14:paraId="7A31D35B" w14:textId="4E85C7D7">
      <w:pPr>
        <w:pStyle w:val="ListParagraph"/>
        <w:numPr>
          <w:ilvl w:val="0"/>
          <w:numId w:val="35"/>
        </w:numPr>
        <w:rPr>
          <w:sz w:val="24"/>
          <w:szCs w:val="24"/>
        </w:rPr>
      </w:pPr>
      <w:proofErr w:type="spellStart"/>
      <w:r w:rsidRPr="538736AC" w:rsidR="538736AC">
        <w:rPr>
          <w:rFonts w:ascii="Times New Roman" w:hAnsi="Times New Roman" w:cs="Times New Roman"/>
          <w:b w:val="0"/>
          <w:bCs w:val="0"/>
          <w:i w:val="1"/>
          <w:iCs w:val="1"/>
        </w:rPr>
        <w:t>Pantoea</w:t>
      </w:r>
      <w:proofErr w:type="spellEnd"/>
      <w:r w:rsidRPr="538736AC" w:rsidR="538736AC">
        <w:rPr>
          <w:rFonts w:ascii="Times New Roman" w:hAnsi="Times New Roman" w:cs="Times New Roman"/>
          <w:b w:val="0"/>
          <w:bCs w:val="0"/>
          <w:i w:val="1"/>
          <w:iCs w:val="1"/>
        </w:rPr>
        <w:t xml:space="preserve"> </w:t>
      </w:r>
      <w:proofErr w:type="spellStart"/>
      <w:r w:rsidRPr="538736AC" w:rsidR="538736AC">
        <w:rPr>
          <w:rFonts w:ascii="Times New Roman" w:hAnsi="Times New Roman" w:cs="Times New Roman"/>
          <w:i w:val="1"/>
          <w:iCs w:val="1"/>
        </w:rPr>
        <w:t>agglomerans</w:t>
      </w:r>
      <w:proofErr w:type="spellEnd"/>
      <w:r w:rsidRPr="538736AC" w:rsidR="538736AC">
        <w:rPr>
          <w:rFonts w:ascii="Times New Roman" w:hAnsi="Times New Roman" w:cs="Times New Roman"/>
        </w:rPr>
        <w:t xml:space="preserve"> – formerly </w:t>
      </w:r>
      <w:r w:rsidRPr="538736AC" w:rsidR="538736AC">
        <w:rPr>
          <w:rFonts w:ascii="Times New Roman" w:hAnsi="Times New Roman" w:cs="Times New Roman"/>
          <w:i w:val="1"/>
          <w:iCs w:val="1"/>
        </w:rPr>
        <w:t xml:space="preserve">Enterobacter </w:t>
      </w:r>
      <w:proofErr w:type="spellStart"/>
      <w:r w:rsidRPr="538736AC" w:rsidR="538736AC">
        <w:rPr>
          <w:rFonts w:ascii="Times New Roman" w:hAnsi="Times New Roman" w:cs="Times New Roman"/>
          <w:i w:val="1"/>
          <w:iCs w:val="1"/>
        </w:rPr>
        <w:t>agglomerans</w:t>
      </w:r>
      <w:proofErr w:type="spellEnd"/>
      <w:r w:rsidRPr="538736AC" w:rsidR="538736AC">
        <w:rPr>
          <w:rFonts w:ascii="Times New Roman" w:hAnsi="Times New Roman" w:cs="Times New Roman"/>
        </w:rPr>
        <w:t>. We recommend treat</w:t>
      </w:r>
      <w:r w:rsidRPr="538736AC" w:rsidR="538736AC">
        <w:rPr>
          <w:rFonts w:ascii="Times New Roman" w:hAnsi="Times New Roman" w:cs="Times New Roman"/>
        </w:rPr>
        <w:t>ing</w:t>
      </w:r>
      <w:r w:rsidRPr="538736AC" w:rsidR="538736AC">
        <w:rPr>
          <w:rFonts w:ascii="Times New Roman" w:hAnsi="Times New Roman" w:cs="Times New Roman"/>
        </w:rPr>
        <w:t xml:space="preserve"> like other Enterobacter species.</w:t>
      </w:r>
    </w:p>
    <w:p w:rsidR="538736AC" w:rsidP="538736AC" w:rsidRDefault="538736AC" w14:paraId="636AF54E" w14:textId="21E7EA47">
      <w:pPr>
        <w:pStyle w:val="ListParagraph"/>
        <w:numPr>
          <w:ilvl w:val="0"/>
          <w:numId w:val="35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538736AC" w:rsidR="538736AC">
        <w:rPr>
          <w:rFonts w:ascii="Times New Roman" w:hAnsi="Times New Roman" w:cs="Times New Roman"/>
          <w:i w:val="1"/>
          <w:iCs w:val="1"/>
        </w:rPr>
        <w:t>Klebsiella aerogenes</w:t>
      </w:r>
      <w:r w:rsidRPr="538736AC" w:rsidR="538736AC">
        <w:rPr>
          <w:rFonts w:ascii="Times New Roman" w:hAnsi="Times New Roman" w:cs="Times New Roman"/>
        </w:rPr>
        <w:t xml:space="preserve"> – formerly </w:t>
      </w:r>
      <w:r w:rsidRPr="538736AC" w:rsidR="538736AC">
        <w:rPr>
          <w:rFonts w:ascii="Times New Roman" w:hAnsi="Times New Roman" w:cs="Times New Roman"/>
          <w:i w:val="1"/>
          <w:iCs w:val="1"/>
        </w:rPr>
        <w:t>Enterobacter aerogenes</w:t>
      </w:r>
      <w:r w:rsidRPr="538736AC" w:rsidR="538736AC">
        <w:rPr>
          <w:rFonts w:ascii="Times New Roman" w:hAnsi="Times New Roman" w:cs="Times New Roman"/>
        </w:rPr>
        <w:t xml:space="preserve"> - also an </w:t>
      </w:r>
      <w:proofErr w:type="spellStart"/>
      <w:r w:rsidRPr="538736AC" w:rsidR="538736AC">
        <w:rPr>
          <w:rFonts w:ascii="Times New Roman" w:hAnsi="Times New Roman" w:cs="Times New Roman"/>
        </w:rPr>
        <w:t>ampC</w:t>
      </w:r>
      <w:proofErr w:type="spellEnd"/>
      <w:r w:rsidRPr="538736AC" w:rsidR="538736AC">
        <w:rPr>
          <w:rFonts w:ascii="Times New Roman" w:hAnsi="Times New Roman" w:cs="Times New Roman"/>
        </w:rPr>
        <w:t xml:space="preserve"> producing organism. </w:t>
      </w:r>
    </w:p>
    <w:p w:rsidR="538736AC" w:rsidP="538736AC" w:rsidRDefault="538736AC" w14:paraId="47779BB9" w14:textId="7F0BADE4">
      <w:pPr>
        <w:pStyle w:val="Normal"/>
        <w:bidi w:val="0"/>
        <w:spacing w:before="0" w:beforeAutospacing="off" w:after="0" w:afterAutospacing="off" w:line="259" w:lineRule="auto"/>
        <w:ind w:left="0" w:right="0" w:hanging="0"/>
        <w:jc w:val="left"/>
        <w:rPr>
          <w:rFonts w:ascii="Times New Roman" w:hAnsi="Times New Roman" w:cs="Times New Roman"/>
        </w:rPr>
      </w:pPr>
    </w:p>
    <w:p w:rsidR="538736AC" w:rsidP="538736AC" w:rsidRDefault="538736AC" w14:noSpellErr="1" w14:paraId="5AD5B26E" w14:textId="34A1AEF6">
      <w:pPr>
        <w:pStyle w:val="Normal"/>
        <w:bidi w:val="0"/>
        <w:spacing w:before="0" w:beforeAutospacing="off" w:after="0" w:afterAutospacing="off" w:line="259" w:lineRule="auto"/>
        <w:ind w:left="0" w:right="0" w:hanging="0"/>
        <w:jc w:val="left"/>
        <w:rPr>
          <w:rFonts w:ascii="Times New Roman" w:hAnsi="Times New Roman" w:cs="Times New Roman"/>
        </w:rPr>
      </w:pPr>
      <w:r w:rsidRPr="538736AC" w:rsidR="538736AC">
        <w:rPr>
          <w:rFonts w:ascii="Times New Roman" w:hAnsi="Times New Roman" w:cs="Times New Roman"/>
        </w:rPr>
        <w:t>Increasing Employee Influenza Vaccination Uptake</w:t>
      </w:r>
    </w:p>
    <w:p w:rsidR="538736AC" w:rsidP="538736AC" w:rsidRDefault="538736AC" w14:noSpellErr="1" w14:paraId="45F0575A" w14:textId="42C93B46">
      <w:pPr>
        <w:pStyle w:val="ListParagraph"/>
        <w:numPr>
          <w:ilvl w:val="0"/>
          <w:numId w:val="35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538736AC" w:rsidR="538736AC">
        <w:rPr>
          <w:rFonts w:ascii="Times New Roman" w:hAnsi="Times New Roman" w:cs="Times New Roman"/>
        </w:rPr>
        <w:t>Make getting the vaccine as easy as possible</w:t>
      </w:r>
    </w:p>
    <w:p w:rsidR="538736AC" w:rsidP="538736AC" w:rsidRDefault="538736AC" w14:noSpellErr="1" w14:paraId="6D48D981" w14:textId="165F36F0">
      <w:pPr>
        <w:pStyle w:val="ListParagraph"/>
        <w:numPr>
          <w:ilvl w:val="0"/>
          <w:numId w:val="35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538736AC" w:rsidR="538736AC">
        <w:rPr>
          <w:rFonts w:ascii="Times New Roman" w:hAnsi="Times New Roman" w:cs="Times New Roman"/>
        </w:rPr>
        <w:t xml:space="preserve">Make not getting the vaccine tough </w:t>
      </w:r>
    </w:p>
    <w:p w:rsidR="538736AC" w:rsidP="538736AC" w:rsidRDefault="538736AC" w14:noSpellErr="1" w14:paraId="123E1EC0" w14:textId="0F2D361B">
      <w:pPr>
        <w:pStyle w:val="ListParagraph"/>
        <w:numPr>
          <w:ilvl w:val="1"/>
          <w:numId w:val="3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sz w:val="24"/>
          <w:szCs w:val="24"/>
        </w:rPr>
      </w:pPr>
      <w:r w:rsidRPr="538736AC" w:rsidR="538736AC">
        <w:rPr>
          <w:rFonts w:ascii="Times New Roman" w:hAnsi="Times New Roman" w:cs="Times New Roman"/>
        </w:rPr>
        <w:t>Yearly in person education sessions for people opting out</w:t>
      </w:r>
    </w:p>
    <w:p w:rsidR="538736AC" w:rsidP="538736AC" w:rsidRDefault="538736AC" w14:noSpellErr="1" w14:paraId="3B1D00BB" w14:textId="257E8EC2">
      <w:pPr>
        <w:pStyle w:val="ListParagraph"/>
        <w:numPr>
          <w:ilvl w:val="1"/>
          <w:numId w:val="3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sz w:val="24"/>
          <w:szCs w:val="24"/>
        </w:rPr>
      </w:pPr>
      <w:r w:rsidRPr="538736AC" w:rsidR="538736AC">
        <w:rPr>
          <w:rFonts w:ascii="Times New Roman" w:hAnsi="Times New Roman" w:cs="Times New Roman"/>
        </w:rPr>
        <w:t>“Badge-buddies” identifying those who have been vaccinated</w:t>
      </w:r>
    </w:p>
    <w:p w:rsidR="538736AC" w:rsidP="538736AC" w:rsidRDefault="538736AC" w14:noSpellErr="1" w14:paraId="37830B2E" w14:textId="657210B2">
      <w:pPr>
        <w:pStyle w:val="ListParagraph"/>
        <w:numPr>
          <w:ilvl w:val="1"/>
          <w:numId w:val="3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sz w:val="24"/>
          <w:szCs w:val="24"/>
        </w:rPr>
      </w:pPr>
      <w:r w:rsidRPr="538736AC" w:rsidR="538736AC">
        <w:rPr>
          <w:rFonts w:ascii="Times New Roman" w:hAnsi="Times New Roman" w:cs="Times New Roman"/>
        </w:rPr>
        <w:t>Masking if not vaccinated</w:t>
      </w:r>
    </w:p>
    <w:p w:rsidR="538736AC" w:rsidP="538736AC" w:rsidRDefault="538736AC" w14:noSpellErr="1" w14:paraId="1B0E6AEB" w14:textId="0641B19C">
      <w:pPr>
        <w:pStyle w:val="Normal"/>
        <w:rPr>
          <w:rFonts w:ascii="Times New Roman" w:hAnsi="Times New Roman" w:cs="Times New Roman"/>
          <w:color w:val="000000" w:themeColor="text1" w:themeTint="FF" w:themeShade="FF"/>
        </w:rPr>
      </w:pPr>
    </w:p>
    <w:p w:rsidR="007A22AF" w:rsidP="00DB188F" w:rsidRDefault="007A22AF" w14:paraId="2265252C" w14:textId="6213ADD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References:</w:t>
      </w:r>
    </w:p>
    <w:p w:rsidR="007A22AF" w:rsidP="00817C1C" w:rsidRDefault="00817C1C" w14:paraId="2801B2B5" w14:textId="2365576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Cain SE, Kohn J, </w:t>
      </w:r>
      <w:proofErr w:type="spellStart"/>
      <w:r>
        <w:rPr>
          <w:rFonts w:ascii="Times New Roman" w:hAnsi="Times New Roman" w:cs="Times New Roman"/>
          <w:color w:val="000000" w:themeColor="text1"/>
        </w:rPr>
        <w:t>Bookstaver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PB, Albrecht H, Al-Hasan MN. Stratification of the impact of inappropriate empirical antimicrobial therapy for Gram-negative bloodstream infections by predicted prognosis. </w:t>
      </w:r>
      <w:proofErr w:type="spellStart"/>
      <w:r w:rsidRPr="00817C1C">
        <w:rPr>
          <w:rFonts w:ascii="Times New Roman" w:hAnsi="Times New Roman" w:cs="Times New Roman"/>
          <w:color w:val="000000" w:themeColor="text1"/>
        </w:rPr>
        <w:t>Antimicrob</w:t>
      </w:r>
      <w:proofErr w:type="spellEnd"/>
      <w:r w:rsidRPr="00817C1C">
        <w:rPr>
          <w:rFonts w:ascii="Times New Roman" w:hAnsi="Times New Roman" w:cs="Times New Roman"/>
          <w:color w:val="000000" w:themeColor="text1"/>
        </w:rPr>
        <w:t> Agents Chemother. 2015;59(1):245-50</w:t>
      </w:r>
    </w:p>
    <w:p w:rsidR="007A22AF" w:rsidP="00817C1C" w:rsidRDefault="00817C1C" w14:paraId="049C01D7" w14:textId="1496197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Leis JA, </w:t>
      </w:r>
      <w:proofErr w:type="spellStart"/>
      <w:r>
        <w:rPr>
          <w:rFonts w:ascii="Times New Roman" w:hAnsi="Times New Roman" w:cs="Times New Roman"/>
          <w:color w:val="000000" w:themeColor="text1"/>
        </w:rPr>
        <w:t>REbick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GW, Daneman N, et al. Reducing antimicrobial therapy for asymptomatic bacteriuria among </w:t>
      </w:r>
      <w:proofErr w:type="spellStart"/>
      <w:r>
        <w:rPr>
          <w:rFonts w:ascii="Times New Roman" w:hAnsi="Times New Roman" w:cs="Times New Roman"/>
          <w:color w:val="000000" w:themeColor="text1"/>
        </w:rPr>
        <w:t>noncatheterized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inpatients: a proof-of-concept study. </w:t>
      </w:r>
      <w:r w:rsidRPr="00817C1C">
        <w:rPr>
          <w:rFonts w:ascii="Times New Roman" w:hAnsi="Times New Roman" w:cs="Times New Roman"/>
          <w:color w:val="000000" w:themeColor="text1"/>
        </w:rPr>
        <w:t>Clin Infect Dis 2014;58(7):980-3.</w:t>
      </w:r>
    </w:p>
    <w:p w:rsidRPr="007A22AF" w:rsidR="00817C1C" w:rsidP="535980EF" w:rsidRDefault="00817C1C" w14:paraId="7CB6E7E7" w14:textId="1DAA767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35980EF" w:rsidR="535980EF">
        <w:rPr>
          <w:rFonts w:ascii="Times New Roman" w:hAnsi="Times New Roman" w:cs="Times New Roman"/>
          <w:color w:val="000000" w:themeColor="text1" w:themeTint="FF" w:themeShade="FF"/>
        </w:rPr>
        <w:t xml:space="preserve">Vik I, </w:t>
      </w:r>
      <w:proofErr w:type="spellStart"/>
      <w:r w:rsidRPr="535980EF" w:rsidR="535980EF">
        <w:rPr>
          <w:rFonts w:ascii="Times New Roman" w:hAnsi="Times New Roman" w:cs="Times New Roman"/>
          <w:color w:val="000000" w:themeColor="text1" w:themeTint="FF" w:themeShade="FF"/>
        </w:rPr>
        <w:t>Bollestad</w:t>
      </w:r>
      <w:proofErr w:type="spellEnd"/>
      <w:r w:rsidRPr="535980EF" w:rsidR="535980EF">
        <w:rPr>
          <w:rFonts w:ascii="Times New Roman" w:hAnsi="Times New Roman" w:cs="Times New Roman"/>
          <w:color w:val="000000" w:themeColor="text1" w:themeTint="FF" w:themeShade="FF"/>
        </w:rPr>
        <w:t xml:space="preserve"> M, </w:t>
      </w:r>
      <w:proofErr w:type="spellStart"/>
      <w:r w:rsidRPr="535980EF" w:rsidR="535980EF">
        <w:rPr>
          <w:rFonts w:ascii="Times New Roman" w:hAnsi="Times New Roman" w:cs="Times New Roman"/>
          <w:color w:val="000000" w:themeColor="text1" w:themeTint="FF" w:themeShade="FF"/>
        </w:rPr>
        <w:t>Grude</w:t>
      </w:r>
      <w:proofErr w:type="spellEnd"/>
      <w:r w:rsidRPr="535980EF" w:rsidR="535980EF">
        <w:rPr>
          <w:rFonts w:ascii="Times New Roman" w:hAnsi="Times New Roman" w:cs="Times New Roman"/>
          <w:color w:val="000000" w:themeColor="text1" w:themeTint="FF" w:themeShade="FF"/>
        </w:rPr>
        <w:t xml:space="preserve"> N, et al. Ibuprofen versus </w:t>
      </w:r>
      <w:proofErr w:type="spellStart"/>
      <w:r w:rsidRPr="535980EF" w:rsidR="535980EF">
        <w:rPr>
          <w:rFonts w:ascii="Times New Roman" w:hAnsi="Times New Roman" w:cs="Times New Roman"/>
          <w:color w:val="000000" w:themeColor="text1" w:themeTint="FF" w:themeShade="FF"/>
        </w:rPr>
        <w:t>pivmecillinam</w:t>
      </w:r>
      <w:proofErr w:type="spellEnd"/>
      <w:r w:rsidRPr="535980EF" w:rsidR="535980EF">
        <w:rPr>
          <w:rFonts w:ascii="Times New Roman" w:hAnsi="Times New Roman" w:cs="Times New Roman"/>
          <w:color w:val="000000" w:themeColor="text1" w:themeTint="FF" w:themeShade="FF"/>
        </w:rPr>
        <w:t xml:space="preserve"> for uncomplicated urinary tract infection in women – a double-blind, randomized, non-inferiority trial. </w:t>
      </w:r>
      <w:proofErr w:type="spellStart"/>
      <w:r w:rsidRPr="535980EF" w:rsidR="535980E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Plos</w:t>
      </w:r>
      <w:proofErr w:type="spellEnd"/>
      <w:r w:rsidRPr="535980EF" w:rsidR="535980E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Med 2018; 15(5</w:t>
      </w:r>
      <w:proofErr w:type="gramStart"/>
      <w:r w:rsidRPr="535980EF" w:rsidR="535980E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):e</w:t>
      </w:r>
      <w:proofErr w:type="gramEnd"/>
      <w:r w:rsidRPr="535980EF" w:rsidR="535980E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1002569.</w:t>
      </w:r>
    </w:p>
    <w:p w:rsidR="535980EF" w:rsidP="535980EF" w:rsidRDefault="535980EF" w14:paraId="25DA1411" w14:textId="53D4B847">
      <w:pPr>
        <w:pStyle w:val="ListParagraph"/>
        <w:numPr>
          <w:ilvl w:val="0"/>
          <w:numId w:val="37"/>
        </w:numPr>
        <w:rPr>
          <w:color w:val="222222" w:themeColor="text1" w:themeTint="FF" w:themeShade="FF"/>
          <w:sz w:val="24"/>
          <w:szCs w:val="24"/>
        </w:rPr>
      </w:pPr>
      <w:r w:rsidRPr="535980EF" w:rsidR="535980EF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Mody L, </w:t>
      </w:r>
      <w:proofErr w:type="spellStart"/>
      <w:r w:rsidRPr="535980EF" w:rsidR="535980EF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Juthani</w:t>
      </w:r>
      <w:proofErr w:type="spellEnd"/>
      <w:r w:rsidRPr="535980EF" w:rsidR="535980EF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-Mehta M. Urinary tract infections in older women: a clinical review. Jama. 2014 Feb 26;311(8):844-54.</w:t>
      </w:r>
    </w:p>
    <w:p w:rsidR="007A22AF" w:rsidP="00DB188F" w:rsidRDefault="007A22AF" w14:paraId="1467EA9B" w14:textId="77777777">
      <w:pPr>
        <w:rPr>
          <w:rFonts w:ascii="Times New Roman" w:hAnsi="Times New Roman" w:cs="Times New Roman"/>
          <w:color w:val="000000" w:themeColor="text1"/>
        </w:rPr>
      </w:pPr>
    </w:p>
    <w:p w:rsidR="003D553D" w:rsidP="535980EF" w:rsidRDefault="006878BC" w14:paraId="3346525D" w14:textId="29682309">
      <w:pPr>
        <w:rPr>
          <w:rFonts w:ascii="Times New Roman" w:hAnsi="Times New Roman" w:cs="Times New Roman"/>
          <w:color w:val="000000" w:themeColor="text1" w:themeTint="FF" w:themeShade="FF"/>
        </w:rPr>
      </w:pPr>
      <w:r w:rsidRPr="535980EF" w:rsidR="535980EF">
        <w:rPr>
          <w:rFonts w:ascii="Times New Roman" w:hAnsi="Times New Roman" w:cs="Times New Roman"/>
          <w:color w:val="000000" w:themeColor="text1" w:themeTint="FF" w:themeShade="FF"/>
        </w:rPr>
        <w:t xml:space="preserve">Zahra </w:t>
      </w:r>
      <w:proofErr w:type="spellStart"/>
      <w:r w:rsidRPr="535980EF" w:rsidR="535980EF">
        <w:rPr>
          <w:rFonts w:ascii="Times New Roman" w:hAnsi="Times New Roman" w:cs="Times New Roman"/>
          <w:color w:val="000000" w:themeColor="text1" w:themeTint="FF" w:themeShade="FF"/>
        </w:rPr>
        <w:t>Kassamali</w:t>
      </w:r>
      <w:proofErr w:type="spellEnd"/>
      <w:r w:rsidRPr="535980EF" w:rsidR="535980EF">
        <w:rPr>
          <w:rFonts w:ascii="Times New Roman" w:hAnsi="Times New Roman" w:cs="Times New Roman"/>
          <w:color w:val="000000" w:themeColor="text1" w:themeTint="FF" w:themeShade="FF"/>
        </w:rPr>
        <w:t xml:space="preserve"> Escobar, PharmD</w:t>
      </w:r>
      <w:r w:rsidRPr="535980EF" w:rsidR="535980EF">
        <w:rPr>
          <w:rFonts w:ascii="Times New Roman" w:hAnsi="Times New Roman" w:cs="Times New Roman"/>
          <w:color w:val="000000" w:themeColor="text1" w:themeTint="FF" w:themeShade="FF"/>
        </w:rPr>
        <w:t xml:space="preserve"> &amp; Chloe Bryson-Cahn, MD</w:t>
      </w:r>
    </w:p>
    <w:p w:rsidR="003D553D" w:rsidP="00DB188F" w:rsidRDefault="003D553D" w14:paraId="2BD28DEE" w14:textId="77777777">
      <w:pPr>
        <w:rPr>
          <w:rFonts w:ascii="Times New Roman" w:hAnsi="Times New Roman" w:cs="Times New Roman"/>
          <w:color w:val="000000" w:themeColor="text1"/>
        </w:rPr>
      </w:pPr>
      <w:r w:rsidRPr="00506C39">
        <w:rPr>
          <w:rFonts w:ascii="Times New Roman" w:hAnsi="Times New Roman" w:cs="Times New Roman"/>
          <w:color w:val="000000" w:themeColor="text1"/>
        </w:rPr>
        <w:t xml:space="preserve">On behalf of the </w:t>
      </w:r>
      <w:r w:rsidRPr="00506C39" w:rsidR="00506C39">
        <w:rPr>
          <w:rFonts w:ascii="Times New Roman" w:hAnsi="Times New Roman" w:cs="Times New Roman"/>
          <w:color w:val="000000" w:themeColor="text1"/>
        </w:rPr>
        <w:t>UW TASP</w:t>
      </w:r>
      <w:r w:rsidRPr="00506C39">
        <w:rPr>
          <w:rFonts w:ascii="Times New Roman" w:hAnsi="Times New Roman" w:cs="Times New Roman"/>
          <w:color w:val="000000" w:themeColor="text1"/>
        </w:rPr>
        <w:t xml:space="preserve"> ECHO Specialist Team:  </w:t>
      </w:r>
    </w:p>
    <w:p w:rsidRPr="00506C39" w:rsidR="008758F4" w:rsidP="00DB188F" w:rsidRDefault="008758F4" w14:paraId="479BBCA0" w14:textId="77777777">
      <w:pPr>
        <w:rPr>
          <w:rFonts w:ascii="Times New Roman" w:hAnsi="Times New Roman" w:cs="Times New Roman"/>
          <w:color w:val="000000" w:themeColor="text1"/>
        </w:rPr>
      </w:pPr>
    </w:p>
    <w:p w:rsidRPr="00506C39" w:rsidR="003D553D" w:rsidP="00DB188F" w:rsidRDefault="00506C39" w14:paraId="3CA025CF" w14:textId="77777777">
      <w:pPr>
        <w:rPr>
          <w:rFonts w:ascii="Times New Roman" w:hAnsi="Times New Roman" w:cs="Times New Roman"/>
          <w:bCs/>
          <w:i/>
          <w:color w:val="000000" w:themeColor="text1"/>
        </w:rPr>
      </w:pPr>
      <w:r w:rsidRPr="00506C39">
        <w:rPr>
          <w:rFonts w:ascii="Times New Roman" w:hAnsi="Times New Roman" w:cs="Times New Roman"/>
          <w:bCs/>
          <w:i/>
          <w:color w:val="000000" w:themeColor="text1"/>
        </w:rPr>
        <w:t xml:space="preserve">John Lynch, MD </w:t>
      </w:r>
    </w:p>
    <w:p w:rsidR="00506C39" w:rsidP="00DB188F" w:rsidRDefault="00450DFB" w14:paraId="66D74E50" w14:textId="77777777">
      <w:pPr>
        <w:rPr>
          <w:rFonts w:ascii="Times New Roman" w:hAnsi="Times New Roman" w:cs="Times New Roman"/>
          <w:bCs/>
          <w:i/>
          <w:color w:val="000000" w:themeColor="text1"/>
        </w:rPr>
      </w:pPr>
      <w:r>
        <w:rPr>
          <w:rFonts w:ascii="Times New Roman" w:hAnsi="Times New Roman" w:cs="Times New Roman"/>
          <w:bCs/>
          <w:i/>
          <w:color w:val="000000" w:themeColor="text1"/>
        </w:rPr>
        <w:t>Chloe Bryson-Cahn</w:t>
      </w:r>
      <w:r w:rsidRPr="00506C39" w:rsidR="00506C39">
        <w:rPr>
          <w:rFonts w:ascii="Times New Roman" w:hAnsi="Times New Roman" w:cs="Times New Roman"/>
          <w:bCs/>
          <w:i/>
          <w:color w:val="000000" w:themeColor="text1"/>
        </w:rPr>
        <w:t>, MD</w:t>
      </w:r>
    </w:p>
    <w:p w:rsidR="008758F4" w:rsidP="00DB188F" w:rsidRDefault="008758F4" w14:paraId="6CE44447" w14:textId="77777777">
      <w:pPr>
        <w:rPr>
          <w:rFonts w:ascii="Times New Roman" w:hAnsi="Times New Roman" w:cs="Times New Roman"/>
          <w:bCs/>
          <w:i/>
          <w:color w:val="000000" w:themeColor="text1"/>
        </w:rPr>
      </w:pPr>
      <w:r>
        <w:rPr>
          <w:rFonts w:ascii="Times New Roman" w:hAnsi="Times New Roman" w:cs="Times New Roman"/>
          <w:bCs/>
          <w:i/>
          <w:color w:val="000000" w:themeColor="text1"/>
        </w:rPr>
        <w:t>Jeannie Chan, PharmD</w:t>
      </w:r>
    </w:p>
    <w:p w:rsidRPr="00506C39" w:rsidR="008758F4" w:rsidP="008758F4" w:rsidRDefault="008758F4" w14:paraId="0C1C433E" w14:textId="77777777">
      <w:pPr>
        <w:rPr>
          <w:rFonts w:ascii="Times New Roman" w:hAnsi="Times New Roman" w:cs="Times New Roman"/>
          <w:bCs/>
          <w:i/>
          <w:color w:val="000000" w:themeColor="text1"/>
        </w:rPr>
      </w:pPr>
      <w:r>
        <w:rPr>
          <w:rFonts w:ascii="Times New Roman" w:hAnsi="Times New Roman" w:cs="Times New Roman"/>
          <w:bCs/>
          <w:i/>
          <w:color w:val="000000" w:themeColor="text1"/>
        </w:rPr>
        <w:t>Z</w:t>
      </w:r>
      <w:r w:rsidRPr="00506C39">
        <w:rPr>
          <w:rFonts w:ascii="Times New Roman" w:hAnsi="Times New Roman" w:cs="Times New Roman"/>
          <w:bCs/>
          <w:i/>
          <w:color w:val="000000" w:themeColor="text1"/>
        </w:rPr>
        <w:t>a</w:t>
      </w:r>
      <w:r>
        <w:rPr>
          <w:rFonts w:ascii="Times New Roman" w:hAnsi="Times New Roman" w:cs="Times New Roman"/>
          <w:bCs/>
          <w:i/>
          <w:color w:val="000000" w:themeColor="text1"/>
        </w:rPr>
        <w:t>h</w:t>
      </w:r>
      <w:r w:rsidRPr="00506C39">
        <w:rPr>
          <w:rFonts w:ascii="Times New Roman" w:hAnsi="Times New Roman" w:cs="Times New Roman"/>
          <w:bCs/>
          <w:i/>
          <w:color w:val="000000" w:themeColor="text1"/>
        </w:rPr>
        <w:t xml:space="preserve">ra </w:t>
      </w:r>
      <w:r w:rsidR="006878BC">
        <w:rPr>
          <w:rFonts w:ascii="Times New Roman" w:hAnsi="Times New Roman" w:cs="Times New Roman"/>
          <w:bCs/>
          <w:i/>
          <w:color w:val="000000" w:themeColor="text1"/>
        </w:rPr>
        <w:t xml:space="preserve">Kassamali </w:t>
      </w:r>
      <w:r w:rsidRPr="00506C39">
        <w:rPr>
          <w:rFonts w:ascii="Times New Roman" w:hAnsi="Times New Roman" w:cs="Times New Roman"/>
          <w:bCs/>
          <w:i/>
          <w:color w:val="000000" w:themeColor="text1"/>
        </w:rPr>
        <w:t xml:space="preserve">Escobar, PharmD </w:t>
      </w:r>
    </w:p>
    <w:p w:rsidR="008758F4" w:rsidP="00DB188F" w:rsidRDefault="008758F4" w14:paraId="334C6748" w14:textId="77777777">
      <w:pPr>
        <w:rPr>
          <w:rFonts w:ascii="Times New Roman" w:hAnsi="Times New Roman" w:cs="Times New Roman"/>
          <w:bCs/>
          <w:i/>
          <w:color w:val="000000" w:themeColor="text1"/>
        </w:rPr>
      </w:pPr>
      <w:r>
        <w:rPr>
          <w:rFonts w:ascii="Times New Roman" w:hAnsi="Times New Roman" w:cs="Times New Roman"/>
          <w:bCs/>
          <w:i/>
          <w:color w:val="000000" w:themeColor="text1"/>
        </w:rPr>
        <w:t>Hannah Imlay, MD</w:t>
      </w:r>
    </w:p>
    <w:p w:rsidR="008758F4" w:rsidP="008758F4" w:rsidRDefault="008758F4" w14:paraId="1523131F" w14:textId="77777777">
      <w:pPr>
        <w:rPr>
          <w:rFonts w:ascii="Times New Roman" w:hAnsi="Times New Roman" w:cs="Times New Roman"/>
          <w:bCs/>
          <w:i/>
          <w:color w:val="000000" w:themeColor="text1"/>
        </w:rPr>
      </w:pPr>
      <w:r>
        <w:rPr>
          <w:rFonts w:ascii="Times New Roman" w:hAnsi="Times New Roman" w:cs="Times New Roman"/>
          <w:bCs/>
          <w:i/>
          <w:color w:val="000000" w:themeColor="text1"/>
        </w:rPr>
        <w:t>Rupali Jain, PharmD</w:t>
      </w:r>
    </w:p>
    <w:p w:rsidR="008758F4" w:rsidP="00DB188F" w:rsidRDefault="008758F4" w14:paraId="7DA13731" w14:textId="77777777">
      <w:pPr>
        <w:rPr>
          <w:rFonts w:ascii="Times New Roman" w:hAnsi="Times New Roman" w:cs="Times New Roman"/>
          <w:bCs/>
          <w:i/>
          <w:color w:val="000000" w:themeColor="text1"/>
        </w:rPr>
      </w:pPr>
      <w:r w:rsidRPr="538736AC" w:rsidR="538736AC">
        <w:rPr>
          <w:rFonts w:ascii="Times New Roman" w:hAnsi="Times New Roman" w:cs="Times New Roman"/>
          <w:i w:val="1"/>
          <w:iCs w:val="1"/>
          <w:color w:val="000000" w:themeColor="text1" w:themeTint="FF" w:themeShade="FF"/>
        </w:rPr>
        <w:t>Paul Pottinger, MD</w:t>
      </w:r>
    </w:p>
    <w:p w:rsidR="538736AC" w:rsidP="538736AC" w:rsidRDefault="538736AC" w14:noSpellErr="1" w14:paraId="79FE2E83" w14:textId="0039F375">
      <w:pPr>
        <w:pStyle w:val="Normal"/>
        <w:rPr>
          <w:rFonts w:ascii="Times New Roman" w:hAnsi="Times New Roman" w:cs="Times New Roman"/>
          <w:i w:val="1"/>
          <w:iCs w:val="1"/>
          <w:color w:val="000000" w:themeColor="text1" w:themeTint="FF" w:themeShade="FF"/>
        </w:rPr>
      </w:pPr>
    </w:p>
    <w:p w:rsidRPr="00506C39" w:rsidR="00506C39" w:rsidP="00506C39" w:rsidRDefault="00506C39" w14:paraId="2925F9B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 w:cs="Times New Roman"/>
          <w:color w:val="000000"/>
          <w:sz w:val="20"/>
          <w:szCs w:val="20"/>
        </w:rPr>
      </w:pPr>
      <w:bookmarkStart w:name="_GoBack" w:id="0"/>
      <w:bookmarkEnd w:id="0"/>
      <w:r w:rsidRPr="00506C39">
        <w:rPr>
          <w:rFonts w:ascii="Times New Roman" w:hAnsi="Times New Roman" w:cs="Times New Roman"/>
          <w:color w:val="000000"/>
          <w:sz w:val="20"/>
          <w:szCs w:val="20"/>
        </w:rPr>
        <w:t xml:space="preserve">PLEASE NOTE that Project ECHO case consultations do </w:t>
      </w:r>
      <w:r w:rsidRPr="00506C39">
        <w:rPr>
          <w:rFonts w:ascii="Times New Roman" w:hAnsi="Times New Roman" w:cs="Times New Roman"/>
          <w:color w:val="000000"/>
          <w:sz w:val="20"/>
          <w:szCs w:val="20"/>
          <w:u w:val="single"/>
        </w:rPr>
        <w:t>not</w:t>
      </w:r>
      <w:r w:rsidRPr="00506C39">
        <w:rPr>
          <w:rFonts w:ascii="Times New Roman" w:hAnsi="Times New Roman" w:cs="Times New Roman"/>
          <w:color w:val="000000"/>
          <w:sz w:val="20"/>
          <w:szCs w:val="20"/>
        </w:rPr>
        <w:t xml:space="preserve"> create or otherwise establish a provider-patient relationship between any UW Medicine Health Care Professional and any patient whose case is being presented in a Project ECHO setting.  A provider-patient relationship between a UW Medicine Health Care Professional and a patient whose case was presented at Project ECHO may later be established if the patient is referred and seen in the context of a regular appointment with the UW Medicine Health Care Professional. </w:t>
      </w:r>
    </w:p>
    <w:p w:rsidRPr="003D553D" w:rsidR="00506C39" w:rsidP="00DB188F" w:rsidRDefault="00506C39" w14:paraId="30EA6B2D" w14:textId="77777777">
      <w:pPr>
        <w:rPr>
          <w:i/>
          <w:color w:val="000000" w:themeColor="text1"/>
        </w:rPr>
      </w:pPr>
    </w:p>
    <w:sectPr w:rsidRPr="003D553D" w:rsidR="00506C39" w:rsidSect="000926EF">
      <w:pgSz w:w="12240" w:h="15840" w:orient="portrait"/>
      <w:pgMar w:top="864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371" w:rsidP="00DB188F" w:rsidRDefault="00B96371" w14:paraId="71A133A7" w14:textId="77777777">
      <w:r>
        <w:separator/>
      </w:r>
    </w:p>
  </w:endnote>
  <w:endnote w:type="continuationSeparator" w:id="0">
    <w:p w:rsidR="00B96371" w:rsidP="00DB188F" w:rsidRDefault="00B96371" w14:paraId="639BFB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371" w:rsidP="00DB188F" w:rsidRDefault="00B96371" w14:paraId="5E4F4018" w14:textId="77777777">
      <w:r>
        <w:separator/>
      </w:r>
    </w:p>
  </w:footnote>
  <w:footnote w:type="continuationSeparator" w:id="0">
    <w:p w:rsidR="00B96371" w:rsidP="00DB188F" w:rsidRDefault="00B96371" w14:paraId="3091FD5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C3E"/>
    <w:multiLevelType w:val="hybridMultilevel"/>
    <w:tmpl w:val="09DA2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3C29"/>
    <w:multiLevelType w:val="hybridMultilevel"/>
    <w:tmpl w:val="6EBC83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5426FC"/>
    <w:multiLevelType w:val="hybridMultilevel"/>
    <w:tmpl w:val="5998A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13BF"/>
    <w:multiLevelType w:val="hybridMultilevel"/>
    <w:tmpl w:val="9B5A6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5E6C1D"/>
    <w:multiLevelType w:val="hybridMultilevel"/>
    <w:tmpl w:val="BC64C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67C51"/>
    <w:multiLevelType w:val="hybridMultilevel"/>
    <w:tmpl w:val="F258B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261BA"/>
    <w:multiLevelType w:val="hybridMultilevel"/>
    <w:tmpl w:val="EEACC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8473E"/>
    <w:multiLevelType w:val="hybridMultilevel"/>
    <w:tmpl w:val="B3C8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05F1D"/>
    <w:multiLevelType w:val="hybridMultilevel"/>
    <w:tmpl w:val="3A8A2B0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8249EF"/>
    <w:multiLevelType w:val="hybridMultilevel"/>
    <w:tmpl w:val="B3B6E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7026F"/>
    <w:multiLevelType w:val="hybridMultilevel"/>
    <w:tmpl w:val="0B46C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C055E"/>
    <w:multiLevelType w:val="hybridMultilevel"/>
    <w:tmpl w:val="08FE4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31812"/>
    <w:multiLevelType w:val="hybridMultilevel"/>
    <w:tmpl w:val="29424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B74A0"/>
    <w:multiLevelType w:val="hybridMultilevel"/>
    <w:tmpl w:val="A01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0951F4"/>
    <w:multiLevelType w:val="hybridMultilevel"/>
    <w:tmpl w:val="6B3678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3A06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D025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7B77B2F"/>
    <w:multiLevelType w:val="hybridMultilevel"/>
    <w:tmpl w:val="289C30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9682E"/>
    <w:multiLevelType w:val="hybridMultilevel"/>
    <w:tmpl w:val="E494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E7953"/>
    <w:multiLevelType w:val="hybridMultilevel"/>
    <w:tmpl w:val="80E8E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485F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17126A5"/>
    <w:multiLevelType w:val="hybridMultilevel"/>
    <w:tmpl w:val="4358F700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B6D47"/>
    <w:multiLevelType w:val="hybridMultilevel"/>
    <w:tmpl w:val="3CAC0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85016"/>
    <w:multiLevelType w:val="hybridMultilevel"/>
    <w:tmpl w:val="2286E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90645"/>
    <w:multiLevelType w:val="hybridMultilevel"/>
    <w:tmpl w:val="8D9E79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B22B92"/>
    <w:multiLevelType w:val="hybridMultilevel"/>
    <w:tmpl w:val="7E4CCC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F5D18"/>
    <w:multiLevelType w:val="hybridMultilevel"/>
    <w:tmpl w:val="6D76A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5C7173"/>
    <w:multiLevelType w:val="hybridMultilevel"/>
    <w:tmpl w:val="A0322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10E20"/>
    <w:multiLevelType w:val="hybridMultilevel"/>
    <w:tmpl w:val="38DA92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50053"/>
    <w:multiLevelType w:val="hybridMultilevel"/>
    <w:tmpl w:val="3D3208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513872"/>
    <w:multiLevelType w:val="hybridMultilevel"/>
    <w:tmpl w:val="85A44C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2C773D"/>
    <w:multiLevelType w:val="hybridMultilevel"/>
    <w:tmpl w:val="549EC9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577079"/>
    <w:multiLevelType w:val="hybridMultilevel"/>
    <w:tmpl w:val="41AA9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646832"/>
    <w:multiLevelType w:val="hybridMultilevel"/>
    <w:tmpl w:val="40627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9641A"/>
    <w:multiLevelType w:val="hybridMultilevel"/>
    <w:tmpl w:val="E55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33BEF"/>
    <w:multiLevelType w:val="hybridMultilevel"/>
    <w:tmpl w:val="087A72C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07304B"/>
    <w:multiLevelType w:val="hybridMultilevel"/>
    <w:tmpl w:val="F3C0C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35"/>
  </w:num>
  <w:num w:numId="4">
    <w:abstractNumId w:val="17"/>
  </w:num>
  <w:num w:numId="5">
    <w:abstractNumId w:val="6"/>
  </w:num>
  <w:num w:numId="6">
    <w:abstractNumId w:val="11"/>
  </w:num>
  <w:num w:numId="7">
    <w:abstractNumId w:val="7"/>
  </w:num>
  <w:num w:numId="8">
    <w:abstractNumId w:val="20"/>
  </w:num>
  <w:num w:numId="9">
    <w:abstractNumId w:val="16"/>
  </w:num>
  <w:num w:numId="10">
    <w:abstractNumId w:val="23"/>
  </w:num>
  <w:num w:numId="11">
    <w:abstractNumId w:val="36"/>
  </w:num>
  <w:num w:numId="12">
    <w:abstractNumId w:val="29"/>
  </w:num>
  <w:num w:numId="13">
    <w:abstractNumId w:val="26"/>
  </w:num>
  <w:num w:numId="14">
    <w:abstractNumId w:val="31"/>
  </w:num>
  <w:num w:numId="15">
    <w:abstractNumId w:val="19"/>
  </w:num>
  <w:num w:numId="16">
    <w:abstractNumId w:val="18"/>
  </w:num>
  <w:num w:numId="17">
    <w:abstractNumId w:val="34"/>
  </w:num>
  <w:num w:numId="18">
    <w:abstractNumId w:val="4"/>
  </w:num>
  <w:num w:numId="19">
    <w:abstractNumId w:val="15"/>
  </w:num>
  <w:num w:numId="20">
    <w:abstractNumId w:val="14"/>
  </w:num>
  <w:num w:numId="21">
    <w:abstractNumId w:val="5"/>
  </w:num>
  <w:num w:numId="22">
    <w:abstractNumId w:val="3"/>
  </w:num>
  <w:num w:numId="23">
    <w:abstractNumId w:val="28"/>
  </w:num>
  <w:num w:numId="24">
    <w:abstractNumId w:val="13"/>
  </w:num>
  <w:num w:numId="25">
    <w:abstractNumId w:val="22"/>
  </w:num>
  <w:num w:numId="26">
    <w:abstractNumId w:val="32"/>
  </w:num>
  <w:num w:numId="27">
    <w:abstractNumId w:val="24"/>
  </w:num>
  <w:num w:numId="28">
    <w:abstractNumId w:val="30"/>
  </w:num>
  <w:num w:numId="29">
    <w:abstractNumId w:val="2"/>
  </w:num>
  <w:num w:numId="30">
    <w:abstractNumId w:val="10"/>
  </w:num>
  <w:num w:numId="31">
    <w:abstractNumId w:val="27"/>
  </w:num>
  <w:num w:numId="32">
    <w:abstractNumId w:val="9"/>
  </w:num>
  <w:num w:numId="33">
    <w:abstractNumId w:val="0"/>
  </w:num>
  <w:num w:numId="34">
    <w:abstractNumId w:val="12"/>
  </w:num>
  <w:num w:numId="35">
    <w:abstractNumId w:val="8"/>
  </w:num>
  <w:num w:numId="36">
    <w:abstractNumId w:val="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34"/>
    <w:rsid w:val="00056515"/>
    <w:rsid w:val="000926EF"/>
    <w:rsid w:val="00115B7E"/>
    <w:rsid w:val="00116519"/>
    <w:rsid w:val="001418B8"/>
    <w:rsid w:val="0019236A"/>
    <w:rsid w:val="00197CB9"/>
    <w:rsid w:val="001A41AE"/>
    <w:rsid w:val="001C4A23"/>
    <w:rsid w:val="001D7185"/>
    <w:rsid w:val="001E66F2"/>
    <w:rsid w:val="00217509"/>
    <w:rsid w:val="00233034"/>
    <w:rsid w:val="002B5B18"/>
    <w:rsid w:val="002E1878"/>
    <w:rsid w:val="002E454E"/>
    <w:rsid w:val="00317EBE"/>
    <w:rsid w:val="00321176"/>
    <w:rsid w:val="0032642D"/>
    <w:rsid w:val="003600E3"/>
    <w:rsid w:val="003D553D"/>
    <w:rsid w:val="00421663"/>
    <w:rsid w:val="00450DFB"/>
    <w:rsid w:val="00476CB3"/>
    <w:rsid w:val="0048207D"/>
    <w:rsid w:val="00490678"/>
    <w:rsid w:val="00506C39"/>
    <w:rsid w:val="00527BD8"/>
    <w:rsid w:val="00551D89"/>
    <w:rsid w:val="00570482"/>
    <w:rsid w:val="00597B0B"/>
    <w:rsid w:val="005A0BAC"/>
    <w:rsid w:val="00646BAE"/>
    <w:rsid w:val="00652F63"/>
    <w:rsid w:val="00685307"/>
    <w:rsid w:val="006878BC"/>
    <w:rsid w:val="006A7642"/>
    <w:rsid w:val="006C7459"/>
    <w:rsid w:val="006E2A45"/>
    <w:rsid w:val="006E34CE"/>
    <w:rsid w:val="007851D5"/>
    <w:rsid w:val="00787C4A"/>
    <w:rsid w:val="007A22AF"/>
    <w:rsid w:val="007E36DD"/>
    <w:rsid w:val="007E7A3A"/>
    <w:rsid w:val="00800ACB"/>
    <w:rsid w:val="00817C1C"/>
    <w:rsid w:val="00823208"/>
    <w:rsid w:val="008505D0"/>
    <w:rsid w:val="00855FA7"/>
    <w:rsid w:val="00866DCA"/>
    <w:rsid w:val="008758F4"/>
    <w:rsid w:val="009213BF"/>
    <w:rsid w:val="009551DB"/>
    <w:rsid w:val="00960199"/>
    <w:rsid w:val="009702DE"/>
    <w:rsid w:val="0099001E"/>
    <w:rsid w:val="009F4B4D"/>
    <w:rsid w:val="00A14A80"/>
    <w:rsid w:val="00A16245"/>
    <w:rsid w:val="00A611D0"/>
    <w:rsid w:val="00A742B7"/>
    <w:rsid w:val="00A85E7D"/>
    <w:rsid w:val="00A94F4D"/>
    <w:rsid w:val="00AC4F44"/>
    <w:rsid w:val="00AD720C"/>
    <w:rsid w:val="00B06410"/>
    <w:rsid w:val="00B6242F"/>
    <w:rsid w:val="00B73AFC"/>
    <w:rsid w:val="00B84B46"/>
    <w:rsid w:val="00B96371"/>
    <w:rsid w:val="00BA0F8D"/>
    <w:rsid w:val="00BC5727"/>
    <w:rsid w:val="00BC6A7A"/>
    <w:rsid w:val="00C0772A"/>
    <w:rsid w:val="00C90F3E"/>
    <w:rsid w:val="00CB4A63"/>
    <w:rsid w:val="00CB7495"/>
    <w:rsid w:val="00CC51D5"/>
    <w:rsid w:val="00CC52FA"/>
    <w:rsid w:val="00CF01DF"/>
    <w:rsid w:val="00D01490"/>
    <w:rsid w:val="00D43092"/>
    <w:rsid w:val="00D83DB4"/>
    <w:rsid w:val="00DB188F"/>
    <w:rsid w:val="00DB1991"/>
    <w:rsid w:val="00DB4277"/>
    <w:rsid w:val="00DB5A87"/>
    <w:rsid w:val="00DB696D"/>
    <w:rsid w:val="00DC4986"/>
    <w:rsid w:val="00DD223F"/>
    <w:rsid w:val="00DD70B4"/>
    <w:rsid w:val="00E102D0"/>
    <w:rsid w:val="00E15C19"/>
    <w:rsid w:val="00E872C7"/>
    <w:rsid w:val="00EE3FA6"/>
    <w:rsid w:val="00F47334"/>
    <w:rsid w:val="00F5296C"/>
    <w:rsid w:val="00F52C2A"/>
    <w:rsid w:val="00F7618A"/>
    <w:rsid w:val="00FD26F3"/>
    <w:rsid w:val="04B6A155"/>
    <w:rsid w:val="3267E691"/>
    <w:rsid w:val="535980EF"/>
    <w:rsid w:val="538736AC"/>
    <w:rsid w:val="54E88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47CF"/>
  <w15:docId w15:val="{7A300244-DB3B-473A-A902-9C1E7F34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88F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B18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188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188F"/>
  </w:style>
  <w:style w:type="paragraph" w:styleId="Footer">
    <w:name w:val="footer"/>
    <w:basedOn w:val="Normal"/>
    <w:link w:val="FooterChar"/>
    <w:uiPriority w:val="99"/>
    <w:unhideWhenUsed/>
    <w:rsid w:val="00DB188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188F"/>
  </w:style>
  <w:style w:type="character" w:styleId="Hyperlink">
    <w:name w:val="Hyperlink"/>
    <w:basedOn w:val="DefaultParagraphFont"/>
    <w:uiPriority w:val="99"/>
    <w:unhideWhenUsed/>
    <w:rsid w:val="003D55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4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8A5CE4-8431-4BF8-8EC8-FE1D2F20245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University of Washington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Natalia Martínez Paz</dc:creator>
  <lastModifiedBy>Chloe Bryson-Cahn</lastModifiedBy>
  <revision>4</revision>
  <dcterms:created xsi:type="dcterms:W3CDTF">2018-09-11T18:58:00.0000000Z</dcterms:created>
  <dcterms:modified xsi:type="dcterms:W3CDTF">2018-09-13T22:25:29.9439718Z</dcterms:modified>
</coreProperties>
</file>