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102C2" w14:textId="77777777" w:rsidR="00E11B15" w:rsidRDefault="00E11B15" w:rsidP="00E11B15">
      <w:pPr>
        <w:pStyle w:val="Heading1"/>
        <w:shd w:val="clear" w:color="auto" w:fill="8E6F0C"/>
        <w:spacing w:before="0"/>
        <w:jc w:val="center"/>
        <w:rPr>
          <w:rFonts w:ascii="Open Sans" w:hAnsi="Open Sans" w:cs="Open Sans"/>
          <w:color w:val="FFFFFF"/>
          <w:sz w:val="38"/>
          <w:szCs w:val="38"/>
        </w:rPr>
      </w:pPr>
      <w:r>
        <w:rPr>
          <w:rFonts w:ascii="Open Sans" w:hAnsi="Open Sans" w:cs="Open Sans"/>
          <w:color w:val="FFFFFF"/>
          <w:sz w:val="38"/>
          <w:szCs w:val="38"/>
        </w:rPr>
        <w:t>Antibiotics for Open Fractures</w:t>
      </w:r>
    </w:p>
    <w:p w14:paraId="189C5775" w14:textId="77777777" w:rsidR="00E11B15" w:rsidRDefault="00E11B15" w:rsidP="00E11B15">
      <w:pPr>
        <w:shd w:val="clear" w:color="auto" w:fill="FFFFFF"/>
        <w:outlineLvl w:val="1"/>
        <w:rPr>
          <w:rFonts w:ascii="inherit" w:eastAsia="Times New Roman" w:hAnsi="inherit" w:cs="Open Sans"/>
          <w:color w:val="383746"/>
          <w:sz w:val="39"/>
          <w:szCs w:val="39"/>
        </w:rPr>
      </w:pPr>
    </w:p>
    <w:p w14:paraId="7F9E5237" w14:textId="233A8F68" w:rsidR="00E11B15" w:rsidRPr="00E11B15" w:rsidRDefault="00E11B15" w:rsidP="00E11B15">
      <w:pPr>
        <w:shd w:val="clear" w:color="auto" w:fill="FFFFFF"/>
        <w:outlineLvl w:val="1"/>
        <w:rPr>
          <w:rFonts w:ascii="inherit" w:eastAsia="Times New Roman" w:hAnsi="inherit" w:cs="Open Sans"/>
          <w:color w:val="383746"/>
          <w:sz w:val="39"/>
          <w:szCs w:val="39"/>
        </w:rPr>
      </w:pPr>
      <w:r w:rsidRPr="00E11B15">
        <w:rPr>
          <w:rFonts w:ascii="inherit" w:eastAsia="Times New Roman" w:hAnsi="inherit" w:cs="Open Sans"/>
          <w:color w:val="383746"/>
          <w:sz w:val="39"/>
          <w:szCs w:val="39"/>
        </w:rPr>
        <w:t>Objectives</w:t>
      </w:r>
      <w:bookmarkStart w:id="0" w:name="_GoBack"/>
      <w:bookmarkEnd w:id="0"/>
    </w:p>
    <w:p w14:paraId="77C50DE0" w14:textId="77777777" w:rsidR="00E11B15" w:rsidRPr="00E11B15" w:rsidRDefault="00E11B15" w:rsidP="00E11B15">
      <w:pPr>
        <w:shd w:val="clear" w:color="auto" w:fill="FFFFFF"/>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This guideline was built to guide the appropriate use of antibiotic prophylaxis for patients seen in the emergency department, clinic or inpatient setting with an acute, traumatic open fracture of the long bones, hands or feet.</w:t>
      </w:r>
    </w:p>
    <w:p w14:paraId="5DB23AFE"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If a patient is diagnosed with an open fracture of the long bones, hands or feet, antibiotic prophylaxis to prevent infection is appropriate. Correct antibiotic prophylaxis depends on the severity of the injury and epidemiological risk factors. Combined with expert surgical technique, early administration of antibiotics is likely the most important factor in preventing infection.</w:t>
      </w:r>
    </w:p>
    <w:p w14:paraId="198DFC6A"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In general, there appears to be good scientific support for no more than 24 hrs of antibiotic prophylaxis after injury, with possibly some nuance for Gustilo-Anderson type III fractures and for timing of closure for those specific types </w:t>
      </w:r>
      <w:hyperlink r:id="rId4" w:history="1">
        <w:r w:rsidRPr="00E11B15">
          <w:rPr>
            <w:rFonts w:ascii="Open Sans" w:eastAsia="Times New Roman" w:hAnsi="Open Sans" w:cs="Open Sans"/>
            <w:color w:val="7B6121"/>
            <w:sz w:val="22"/>
            <w:szCs w:val="22"/>
            <w:u w:val="single"/>
          </w:rPr>
          <w:t>[1]</w:t>
        </w:r>
      </w:hyperlink>
      <w:r w:rsidRPr="00E11B15">
        <w:rPr>
          <w:rFonts w:ascii="Open Sans" w:eastAsia="Times New Roman" w:hAnsi="Open Sans" w:cs="Open Sans"/>
          <w:color w:val="383746"/>
          <w:sz w:val="22"/>
          <w:szCs w:val="22"/>
        </w:rPr>
        <w:t>. More severe fractures (ex. type III with vascular injury) may need an individualized prophylaxis plan.</w:t>
      </w:r>
    </w:p>
    <w:p w14:paraId="771935B0"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Many individuals with open fractures also have other injuries. If the patient is getting antibiotics for another indication, s/he may not need additional prophylactic antibiotics. The recommendation for antibiotic prophylaxis must be coordinated with the physician primarily responsible for the patient and with other consulting services. Giving antibiotics is associated with adverse effects and the development of drug-resistant organisms within individual patients. Given the often lengthy, complicated care required for trauma patients, what happens in the ED can negatively affect treatment options later.</w:t>
      </w:r>
    </w:p>
    <w:p w14:paraId="1D2D9035"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 </w:t>
      </w:r>
    </w:p>
    <w:p w14:paraId="7802110D"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Definitions </w:t>
      </w:r>
      <w:hyperlink r:id="rId5" w:history="1">
        <w:r w:rsidRPr="00E11B15">
          <w:rPr>
            <w:rFonts w:ascii="Open Sans" w:eastAsia="Times New Roman" w:hAnsi="Open Sans" w:cs="Open Sans"/>
            <w:color w:val="7B6121"/>
            <w:sz w:val="22"/>
            <w:szCs w:val="22"/>
            <w:u w:val="single"/>
          </w:rPr>
          <w:t>[2,3]</w:t>
        </w:r>
      </w:hyperlink>
      <w:r w:rsidRPr="00E11B15">
        <w:rPr>
          <w:rFonts w:ascii="Open Sans" w:eastAsia="Times New Roman" w:hAnsi="Open Sans" w:cs="Open Sans"/>
          <w:color w:val="383746"/>
          <w:sz w:val="22"/>
          <w:szCs w:val="22"/>
        </w:rPr>
        <w:t>:</w:t>
      </w:r>
    </w:p>
    <w:p w14:paraId="02550AB9"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Type I open fracture: open fracture with skin wound &lt;1cm in length and clean</w:t>
      </w:r>
    </w:p>
    <w:p w14:paraId="13891D5F"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Type II open fracture: open fracture with laceration &gt;1cm in length without extensive soft tissue damage, flaps or avulsions</w:t>
      </w:r>
    </w:p>
    <w:p w14:paraId="0E3887E7"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Type III open fractures: open segmental fracture or &gt;10cm wound with extensive soft tissue injury or a traumatic amputation</w:t>
      </w:r>
    </w:p>
    <w:p w14:paraId="29C270DA"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 </w:t>
      </w:r>
    </w:p>
    <w:p w14:paraId="23701D0F"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The best information available for prophylaxis comes from the EAST Practice Management Guidelines </w:t>
      </w:r>
      <w:hyperlink r:id="rId6" w:history="1">
        <w:r w:rsidRPr="00E11B15">
          <w:rPr>
            <w:rFonts w:ascii="Open Sans" w:eastAsia="Times New Roman" w:hAnsi="Open Sans" w:cs="Open Sans"/>
            <w:color w:val="7B6121"/>
            <w:sz w:val="22"/>
            <w:szCs w:val="22"/>
            <w:u w:val="single"/>
          </w:rPr>
          <w:t>[4]</w:t>
        </w:r>
      </w:hyperlink>
      <w:r w:rsidRPr="00E11B15">
        <w:rPr>
          <w:rFonts w:ascii="Open Sans" w:eastAsia="Times New Roman" w:hAnsi="Open Sans" w:cs="Open Sans"/>
          <w:color w:val="383746"/>
          <w:sz w:val="22"/>
          <w:szCs w:val="22"/>
        </w:rPr>
        <w:t>, including:</w:t>
      </w:r>
    </w:p>
    <w:p w14:paraId="1F179554"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Level 1 support for:</w:t>
      </w:r>
    </w:p>
    <w:p w14:paraId="66C878ED"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 Prophylaxis for Gram-positive cocci immediately</w:t>
      </w:r>
    </w:p>
    <w:p w14:paraId="33D40BE4"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 Prophylaxis for Gram-negative rods with type III fractures</w:t>
      </w:r>
    </w:p>
    <w:p w14:paraId="68D903F7"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 Anaerobic prophylaxis for fecal or clostridial contamination (farms, etc.)</w:t>
      </w:r>
    </w:p>
    <w:p w14:paraId="687A0846"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lastRenderedPageBreak/>
        <w:t>Level 2 support for:</w:t>
      </w:r>
    </w:p>
    <w:p w14:paraId="2C9C54B3"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 Up to 72 hrs of antibiotics for type III fractures with no soft tissue coverage.</w:t>
      </w:r>
    </w:p>
    <w:p w14:paraId="046A26C1"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 Up to 24 hrs of antibiotics after soft tissue coverage for type III fractures.</w:t>
      </w:r>
    </w:p>
    <w:p w14:paraId="775D77C7"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 </w:t>
      </w:r>
    </w:p>
    <w:p w14:paraId="57C8F9F0"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u w:val="single"/>
        </w:rPr>
        <w:t>Antibiotic prophylaxis recommendations:</w:t>
      </w:r>
    </w:p>
    <w:p w14:paraId="542954B6"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NOTE: For surgeries performed on the same day as prophylaxis administered, please inform anesthesia provider that the patient is already on antibiotics for possible infection. If additional antibiotic doses are given as pre-operative prophylaxis, do not extend or shorten the total window of prophylaxis.</w:t>
      </w:r>
    </w:p>
    <w:p w14:paraId="50A3B2DE"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 </w:t>
      </w:r>
    </w:p>
    <w:p w14:paraId="3311C5F1"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Type I and Type II open fractures:</w:t>
      </w:r>
    </w:p>
    <w:p w14:paraId="4BE3797B"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For patients &lt;80kg:</w:t>
      </w:r>
    </w:p>
    <w:p w14:paraId="70B82FBC"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 xml:space="preserve">Cefazolin </w:t>
      </w:r>
      <w:proofErr w:type="gramStart"/>
      <w:r w:rsidRPr="00E11B15">
        <w:rPr>
          <w:rFonts w:ascii="Open Sans" w:eastAsia="Times New Roman" w:hAnsi="Open Sans" w:cs="Open Sans"/>
          <w:color w:val="383746"/>
          <w:sz w:val="22"/>
          <w:szCs w:val="22"/>
        </w:rPr>
        <w:t>1 gram IV</w:t>
      </w:r>
      <w:proofErr w:type="gramEnd"/>
      <w:r w:rsidRPr="00E11B15">
        <w:rPr>
          <w:rFonts w:ascii="Open Sans" w:eastAsia="Times New Roman" w:hAnsi="Open Sans" w:cs="Open Sans"/>
          <w:color w:val="383746"/>
          <w:sz w:val="22"/>
          <w:szCs w:val="22"/>
        </w:rPr>
        <w:t xml:space="preserve"> q 8 hours x 3 doses (24 hours), first dose now</w:t>
      </w:r>
    </w:p>
    <w:p w14:paraId="650C2725"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For patients </w:t>
      </w:r>
      <w:r w:rsidRPr="00E11B15">
        <w:rPr>
          <w:rFonts w:ascii="Open Sans" w:eastAsia="Times New Roman" w:hAnsi="Open Sans" w:cs="Open Sans"/>
          <w:color w:val="383746"/>
          <w:sz w:val="22"/>
          <w:szCs w:val="22"/>
          <w:u w:val="single"/>
        </w:rPr>
        <w:t>&gt;</w:t>
      </w:r>
      <w:r w:rsidRPr="00E11B15">
        <w:rPr>
          <w:rFonts w:ascii="Open Sans" w:eastAsia="Times New Roman" w:hAnsi="Open Sans" w:cs="Open Sans"/>
          <w:color w:val="383746"/>
          <w:sz w:val="22"/>
          <w:szCs w:val="22"/>
        </w:rPr>
        <w:t>80kg:</w:t>
      </w:r>
    </w:p>
    <w:p w14:paraId="1E46AD5B"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Cefazolin 2 grams IV q 8 hours x 3 doses (24 hours), first dose now</w:t>
      </w:r>
    </w:p>
    <w:p w14:paraId="187539A7"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If severe (ex. anaphylaxis) beta-lactam allergy:</w:t>
      </w:r>
    </w:p>
    <w:p w14:paraId="64317AFB"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For patients </w:t>
      </w:r>
      <w:r w:rsidRPr="00E11B15">
        <w:rPr>
          <w:rFonts w:ascii="Open Sans" w:eastAsia="Times New Roman" w:hAnsi="Open Sans" w:cs="Open Sans"/>
          <w:color w:val="383746"/>
          <w:sz w:val="22"/>
          <w:szCs w:val="22"/>
          <w:u w:val="single"/>
        </w:rPr>
        <w:t>&lt;</w:t>
      </w:r>
      <w:r w:rsidRPr="00E11B15">
        <w:rPr>
          <w:rFonts w:ascii="Open Sans" w:eastAsia="Times New Roman" w:hAnsi="Open Sans" w:cs="Open Sans"/>
          <w:color w:val="383746"/>
          <w:sz w:val="22"/>
          <w:szCs w:val="22"/>
        </w:rPr>
        <w:t xml:space="preserve"> 70kg: vancomycin </w:t>
      </w:r>
      <w:proofErr w:type="gramStart"/>
      <w:r w:rsidRPr="00E11B15">
        <w:rPr>
          <w:rFonts w:ascii="Open Sans" w:eastAsia="Times New Roman" w:hAnsi="Open Sans" w:cs="Open Sans"/>
          <w:color w:val="383746"/>
          <w:sz w:val="22"/>
          <w:szCs w:val="22"/>
        </w:rPr>
        <w:t>1 gram IV</w:t>
      </w:r>
      <w:proofErr w:type="gramEnd"/>
      <w:r w:rsidRPr="00E11B15">
        <w:rPr>
          <w:rFonts w:ascii="Open Sans" w:eastAsia="Times New Roman" w:hAnsi="Open Sans" w:cs="Open Sans"/>
          <w:color w:val="383746"/>
          <w:sz w:val="22"/>
          <w:szCs w:val="22"/>
        </w:rPr>
        <w:t xml:space="preserve"> q 12 hours x 2 doses (24 hours), first dose now</w:t>
      </w:r>
    </w:p>
    <w:p w14:paraId="5947DBAE"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For patients </w:t>
      </w:r>
      <w:r w:rsidRPr="00E11B15">
        <w:rPr>
          <w:rFonts w:ascii="Open Sans" w:eastAsia="Times New Roman" w:hAnsi="Open Sans" w:cs="Open Sans"/>
          <w:color w:val="383746"/>
          <w:sz w:val="22"/>
          <w:szCs w:val="22"/>
          <w:u w:val="single"/>
        </w:rPr>
        <w:t>71-100</w:t>
      </w:r>
      <w:r w:rsidRPr="00E11B15">
        <w:rPr>
          <w:rFonts w:ascii="Open Sans" w:eastAsia="Times New Roman" w:hAnsi="Open Sans" w:cs="Open Sans"/>
          <w:color w:val="383746"/>
          <w:sz w:val="22"/>
          <w:szCs w:val="22"/>
        </w:rPr>
        <w:t xml:space="preserve">kg: vancomycin </w:t>
      </w:r>
      <w:proofErr w:type="gramStart"/>
      <w:r w:rsidRPr="00E11B15">
        <w:rPr>
          <w:rFonts w:ascii="Open Sans" w:eastAsia="Times New Roman" w:hAnsi="Open Sans" w:cs="Open Sans"/>
          <w:color w:val="383746"/>
          <w:sz w:val="22"/>
          <w:szCs w:val="22"/>
        </w:rPr>
        <w:t>1.5 gram IV</w:t>
      </w:r>
      <w:proofErr w:type="gramEnd"/>
      <w:r w:rsidRPr="00E11B15">
        <w:rPr>
          <w:rFonts w:ascii="Open Sans" w:eastAsia="Times New Roman" w:hAnsi="Open Sans" w:cs="Open Sans"/>
          <w:color w:val="383746"/>
          <w:sz w:val="22"/>
          <w:szCs w:val="22"/>
        </w:rPr>
        <w:t xml:space="preserve"> q 12 hours x 2 doses (24 hours), first dose now</w:t>
      </w:r>
    </w:p>
    <w:p w14:paraId="34C37CA7"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For patients </w:t>
      </w:r>
      <w:r w:rsidRPr="00E11B15">
        <w:rPr>
          <w:rFonts w:ascii="Open Sans" w:eastAsia="Times New Roman" w:hAnsi="Open Sans" w:cs="Open Sans"/>
          <w:color w:val="383746"/>
          <w:sz w:val="22"/>
          <w:szCs w:val="22"/>
          <w:u w:val="single"/>
        </w:rPr>
        <w:t>&gt;</w:t>
      </w:r>
      <w:r w:rsidRPr="00E11B15">
        <w:rPr>
          <w:rFonts w:ascii="Open Sans" w:eastAsia="Times New Roman" w:hAnsi="Open Sans" w:cs="Open Sans"/>
          <w:color w:val="383746"/>
          <w:sz w:val="22"/>
          <w:szCs w:val="22"/>
        </w:rPr>
        <w:t xml:space="preserve">100kg: vancomycin </w:t>
      </w:r>
      <w:proofErr w:type="gramStart"/>
      <w:r w:rsidRPr="00E11B15">
        <w:rPr>
          <w:rFonts w:ascii="Open Sans" w:eastAsia="Times New Roman" w:hAnsi="Open Sans" w:cs="Open Sans"/>
          <w:color w:val="383746"/>
          <w:sz w:val="22"/>
          <w:szCs w:val="22"/>
        </w:rPr>
        <w:t>2 gram IV</w:t>
      </w:r>
      <w:proofErr w:type="gramEnd"/>
      <w:r w:rsidRPr="00E11B15">
        <w:rPr>
          <w:rFonts w:ascii="Open Sans" w:eastAsia="Times New Roman" w:hAnsi="Open Sans" w:cs="Open Sans"/>
          <w:color w:val="383746"/>
          <w:sz w:val="22"/>
          <w:szCs w:val="22"/>
        </w:rPr>
        <w:t xml:space="preserve"> q 12 hours x 2 doses (24 hours), first dose now</w:t>
      </w:r>
    </w:p>
    <w:p w14:paraId="4A91CF5C"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 </w:t>
      </w:r>
    </w:p>
    <w:p w14:paraId="56CCDB35"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If known history of MRSA colonization or infection (in addition to above):</w:t>
      </w:r>
    </w:p>
    <w:p w14:paraId="0C02517B"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For patients </w:t>
      </w:r>
      <w:r w:rsidRPr="00E11B15">
        <w:rPr>
          <w:rFonts w:ascii="Open Sans" w:eastAsia="Times New Roman" w:hAnsi="Open Sans" w:cs="Open Sans"/>
          <w:color w:val="383746"/>
          <w:sz w:val="22"/>
          <w:szCs w:val="22"/>
          <w:u w:val="single"/>
        </w:rPr>
        <w:t>&lt;</w:t>
      </w:r>
      <w:r w:rsidRPr="00E11B15">
        <w:rPr>
          <w:rFonts w:ascii="Open Sans" w:eastAsia="Times New Roman" w:hAnsi="Open Sans" w:cs="Open Sans"/>
          <w:color w:val="383746"/>
          <w:sz w:val="22"/>
          <w:szCs w:val="22"/>
        </w:rPr>
        <w:t xml:space="preserve"> 70kg: vancomycin </w:t>
      </w:r>
      <w:proofErr w:type="gramStart"/>
      <w:r w:rsidRPr="00E11B15">
        <w:rPr>
          <w:rFonts w:ascii="Open Sans" w:eastAsia="Times New Roman" w:hAnsi="Open Sans" w:cs="Open Sans"/>
          <w:color w:val="383746"/>
          <w:sz w:val="22"/>
          <w:szCs w:val="22"/>
        </w:rPr>
        <w:t>1 gram IV</w:t>
      </w:r>
      <w:proofErr w:type="gramEnd"/>
      <w:r w:rsidRPr="00E11B15">
        <w:rPr>
          <w:rFonts w:ascii="Open Sans" w:eastAsia="Times New Roman" w:hAnsi="Open Sans" w:cs="Open Sans"/>
          <w:color w:val="383746"/>
          <w:sz w:val="22"/>
          <w:szCs w:val="22"/>
        </w:rPr>
        <w:t xml:space="preserve"> q 12 hours x 2 doses (24 hours), first dose now</w:t>
      </w:r>
    </w:p>
    <w:p w14:paraId="4FFC8B43"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For patients </w:t>
      </w:r>
      <w:r w:rsidRPr="00E11B15">
        <w:rPr>
          <w:rFonts w:ascii="Open Sans" w:eastAsia="Times New Roman" w:hAnsi="Open Sans" w:cs="Open Sans"/>
          <w:color w:val="383746"/>
          <w:sz w:val="22"/>
          <w:szCs w:val="22"/>
          <w:u w:val="single"/>
        </w:rPr>
        <w:t>71-100</w:t>
      </w:r>
      <w:r w:rsidRPr="00E11B15">
        <w:rPr>
          <w:rFonts w:ascii="Open Sans" w:eastAsia="Times New Roman" w:hAnsi="Open Sans" w:cs="Open Sans"/>
          <w:color w:val="383746"/>
          <w:sz w:val="22"/>
          <w:szCs w:val="22"/>
        </w:rPr>
        <w:t xml:space="preserve">kg: vancomycin </w:t>
      </w:r>
      <w:proofErr w:type="gramStart"/>
      <w:r w:rsidRPr="00E11B15">
        <w:rPr>
          <w:rFonts w:ascii="Open Sans" w:eastAsia="Times New Roman" w:hAnsi="Open Sans" w:cs="Open Sans"/>
          <w:color w:val="383746"/>
          <w:sz w:val="22"/>
          <w:szCs w:val="22"/>
        </w:rPr>
        <w:t>1.5 gram IV</w:t>
      </w:r>
      <w:proofErr w:type="gramEnd"/>
      <w:r w:rsidRPr="00E11B15">
        <w:rPr>
          <w:rFonts w:ascii="Open Sans" w:eastAsia="Times New Roman" w:hAnsi="Open Sans" w:cs="Open Sans"/>
          <w:color w:val="383746"/>
          <w:sz w:val="22"/>
          <w:szCs w:val="22"/>
        </w:rPr>
        <w:t xml:space="preserve"> q 12 hours x 2 doses (24 hours), first dose now</w:t>
      </w:r>
    </w:p>
    <w:p w14:paraId="2677704B"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For patients </w:t>
      </w:r>
      <w:r w:rsidRPr="00E11B15">
        <w:rPr>
          <w:rFonts w:ascii="Open Sans" w:eastAsia="Times New Roman" w:hAnsi="Open Sans" w:cs="Open Sans"/>
          <w:color w:val="383746"/>
          <w:sz w:val="22"/>
          <w:szCs w:val="22"/>
          <w:u w:val="single"/>
        </w:rPr>
        <w:t>&gt;</w:t>
      </w:r>
      <w:r w:rsidRPr="00E11B15">
        <w:rPr>
          <w:rFonts w:ascii="Open Sans" w:eastAsia="Times New Roman" w:hAnsi="Open Sans" w:cs="Open Sans"/>
          <w:color w:val="383746"/>
          <w:sz w:val="22"/>
          <w:szCs w:val="22"/>
        </w:rPr>
        <w:t xml:space="preserve">100kg: vancomycin </w:t>
      </w:r>
      <w:proofErr w:type="gramStart"/>
      <w:r w:rsidRPr="00E11B15">
        <w:rPr>
          <w:rFonts w:ascii="Open Sans" w:eastAsia="Times New Roman" w:hAnsi="Open Sans" w:cs="Open Sans"/>
          <w:color w:val="383746"/>
          <w:sz w:val="22"/>
          <w:szCs w:val="22"/>
        </w:rPr>
        <w:t>2 gram IV</w:t>
      </w:r>
      <w:proofErr w:type="gramEnd"/>
      <w:r w:rsidRPr="00E11B15">
        <w:rPr>
          <w:rFonts w:ascii="Open Sans" w:eastAsia="Times New Roman" w:hAnsi="Open Sans" w:cs="Open Sans"/>
          <w:color w:val="383746"/>
          <w:sz w:val="22"/>
          <w:szCs w:val="22"/>
        </w:rPr>
        <w:t xml:space="preserve"> q 12 hours x 2 doses (24 hours), first dose now</w:t>
      </w:r>
    </w:p>
    <w:p w14:paraId="4F1BB6C0"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 </w:t>
      </w:r>
    </w:p>
    <w:p w14:paraId="753EC4DB"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If type III fracture:</w:t>
      </w:r>
    </w:p>
    <w:p w14:paraId="0412EEFD"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If soft tissue closure is anticipated:</w:t>
      </w:r>
    </w:p>
    <w:p w14:paraId="656702E6"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lastRenderedPageBreak/>
        <w:t xml:space="preserve">Ceftriaxone </w:t>
      </w:r>
      <w:proofErr w:type="gramStart"/>
      <w:r w:rsidRPr="00E11B15">
        <w:rPr>
          <w:rFonts w:ascii="Open Sans" w:eastAsia="Times New Roman" w:hAnsi="Open Sans" w:cs="Open Sans"/>
          <w:color w:val="383746"/>
          <w:sz w:val="22"/>
          <w:szCs w:val="22"/>
        </w:rPr>
        <w:t>1 gram IV</w:t>
      </w:r>
      <w:proofErr w:type="gramEnd"/>
      <w:r w:rsidRPr="00E11B15">
        <w:rPr>
          <w:rFonts w:ascii="Open Sans" w:eastAsia="Times New Roman" w:hAnsi="Open Sans" w:cs="Open Sans"/>
          <w:color w:val="383746"/>
          <w:sz w:val="22"/>
          <w:szCs w:val="22"/>
        </w:rPr>
        <w:t xml:space="preserve"> x 1 now (24 hours)</w:t>
      </w:r>
    </w:p>
    <w:p w14:paraId="3BE72B17"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 </w:t>
      </w:r>
    </w:p>
    <w:p w14:paraId="2E6CDCA9"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If soft tissue closure of fracture not anticipated:</w:t>
      </w:r>
    </w:p>
    <w:p w14:paraId="215A07ED"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 xml:space="preserve">Ceftriaxone </w:t>
      </w:r>
      <w:proofErr w:type="gramStart"/>
      <w:r w:rsidRPr="00E11B15">
        <w:rPr>
          <w:rFonts w:ascii="Open Sans" w:eastAsia="Times New Roman" w:hAnsi="Open Sans" w:cs="Open Sans"/>
          <w:color w:val="383746"/>
          <w:sz w:val="22"/>
          <w:szCs w:val="22"/>
        </w:rPr>
        <w:t>1 gram IV</w:t>
      </w:r>
      <w:proofErr w:type="gramEnd"/>
      <w:r w:rsidRPr="00E11B15">
        <w:rPr>
          <w:rFonts w:ascii="Open Sans" w:eastAsia="Times New Roman" w:hAnsi="Open Sans" w:cs="Open Sans"/>
          <w:color w:val="383746"/>
          <w:sz w:val="22"/>
          <w:szCs w:val="22"/>
        </w:rPr>
        <w:t xml:space="preserve"> x 1 now and daily for 2 additional days (72 hours)</w:t>
      </w:r>
    </w:p>
    <w:p w14:paraId="15EEE259"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NOTE: For surgeries after the 72-hour mark, use standard antibiotic prophylaxis (cefazolin or, for MRSA+ patients, vancomycin)</w:t>
      </w:r>
    </w:p>
    <w:p w14:paraId="086E1C3E"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 </w:t>
      </w:r>
    </w:p>
    <w:p w14:paraId="033E3AF0"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If known history of MRSA colonization or infection (in addition to above):</w:t>
      </w:r>
    </w:p>
    <w:p w14:paraId="0567B673"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For patients </w:t>
      </w:r>
      <w:r w:rsidRPr="00E11B15">
        <w:rPr>
          <w:rFonts w:ascii="Open Sans" w:eastAsia="Times New Roman" w:hAnsi="Open Sans" w:cs="Open Sans"/>
          <w:color w:val="383746"/>
          <w:sz w:val="22"/>
          <w:szCs w:val="22"/>
          <w:u w:val="single"/>
        </w:rPr>
        <w:t>&lt;</w:t>
      </w:r>
      <w:r w:rsidRPr="00E11B15">
        <w:rPr>
          <w:rFonts w:ascii="Open Sans" w:eastAsia="Times New Roman" w:hAnsi="Open Sans" w:cs="Open Sans"/>
          <w:color w:val="383746"/>
          <w:sz w:val="22"/>
          <w:szCs w:val="22"/>
        </w:rPr>
        <w:t xml:space="preserve"> 70kg: vancomycin </w:t>
      </w:r>
      <w:proofErr w:type="gramStart"/>
      <w:r w:rsidRPr="00E11B15">
        <w:rPr>
          <w:rFonts w:ascii="Open Sans" w:eastAsia="Times New Roman" w:hAnsi="Open Sans" w:cs="Open Sans"/>
          <w:color w:val="383746"/>
          <w:sz w:val="22"/>
          <w:szCs w:val="22"/>
        </w:rPr>
        <w:t>1 gram IV</w:t>
      </w:r>
      <w:proofErr w:type="gramEnd"/>
      <w:r w:rsidRPr="00E11B15">
        <w:rPr>
          <w:rFonts w:ascii="Open Sans" w:eastAsia="Times New Roman" w:hAnsi="Open Sans" w:cs="Open Sans"/>
          <w:color w:val="383746"/>
          <w:sz w:val="22"/>
          <w:szCs w:val="22"/>
        </w:rPr>
        <w:t xml:space="preserve"> q 12 hours x 2 doses (24 hours), first dose now</w:t>
      </w:r>
    </w:p>
    <w:p w14:paraId="76CF022A"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For patients </w:t>
      </w:r>
      <w:r w:rsidRPr="00E11B15">
        <w:rPr>
          <w:rFonts w:ascii="Open Sans" w:eastAsia="Times New Roman" w:hAnsi="Open Sans" w:cs="Open Sans"/>
          <w:color w:val="383746"/>
          <w:sz w:val="22"/>
          <w:szCs w:val="22"/>
          <w:u w:val="single"/>
        </w:rPr>
        <w:t>71-100</w:t>
      </w:r>
      <w:r w:rsidRPr="00E11B15">
        <w:rPr>
          <w:rFonts w:ascii="Open Sans" w:eastAsia="Times New Roman" w:hAnsi="Open Sans" w:cs="Open Sans"/>
          <w:color w:val="383746"/>
          <w:sz w:val="22"/>
          <w:szCs w:val="22"/>
        </w:rPr>
        <w:t xml:space="preserve">kg: vancomycin </w:t>
      </w:r>
      <w:proofErr w:type="gramStart"/>
      <w:r w:rsidRPr="00E11B15">
        <w:rPr>
          <w:rFonts w:ascii="Open Sans" w:eastAsia="Times New Roman" w:hAnsi="Open Sans" w:cs="Open Sans"/>
          <w:color w:val="383746"/>
          <w:sz w:val="22"/>
          <w:szCs w:val="22"/>
        </w:rPr>
        <w:t>1.5 gram IV</w:t>
      </w:r>
      <w:proofErr w:type="gramEnd"/>
      <w:r w:rsidRPr="00E11B15">
        <w:rPr>
          <w:rFonts w:ascii="Open Sans" w:eastAsia="Times New Roman" w:hAnsi="Open Sans" w:cs="Open Sans"/>
          <w:color w:val="383746"/>
          <w:sz w:val="22"/>
          <w:szCs w:val="22"/>
        </w:rPr>
        <w:t xml:space="preserve"> q 12 hours x 2 doses (24 hours), first dose now</w:t>
      </w:r>
    </w:p>
    <w:p w14:paraId="7E92F26A"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For patients </w:t>
      </w:r>
      <w:r w:rsidRPr="00E11B15">
        <w:rPr>
          <w:rFonts w:ascii="Open Sans" w:eastAsia="Times New Roman" w:hAnsi="Open Sans" w:cs="Open Sans"/>
          <w:color w:val="383746"/>
          <w:sz w:val="22"/>
          <w:szCs w:val="22"/>
          <w:u w:val="single"/>
        </w:rPr>
        <w:t>&gt;</w:t>
      </w:r>
      <w:r w:rsidRPr="00E11B15">
        <w:rPr>
          <w:rFonts w:ascii="Open Sans" w:eastAsia="Times New Roman" w:hAnsi="Open Sans" w:cs="Open Sans"/>
          <w:color w:val="383746"/>
          <w:sz w:val="22"/>
          <w:szCs w:val="22"/>
        </w:rPr>
        <w:t xml:space="preserve">100kg: vancomycin </w:t>
      </w:r>
      <w:proofErr w:type="gramStart"/>
      <w:r w:rsidRPr="00E11B15">
        <w:rPr>
          <w:rFonts w:ascii="Open Sans" w:eastAsia="Times New Roman" w:hAnsi="Open Sans" w:cs="Open Sans"/>
          <w:color w:val="383746"/>
          <w:sz w:val="22"/>
          <w:szCs w:val="22"/>
        </w:rPr>
        <w:t>2 gram IV</w:t>
      </w:r>
      <w:proofErr w:type="gramEnd"/>
      <w:r w:rsidRPr="00E11B15">
        <w:rPr>
          <w:rFonts w:ascii="Open Sans" w:eastAsia="Times New Roman" w:hAnsi="Open Sans" w:cs="Open Sans"/>
          <w:color w:val="383746"/>
          <w:sz w:val="22"/>
          <w:szCs w:val="22"/>
        </w:rPr>
        <w:t xml:space="preserve"> q 12 hours x 2 doses (24 hours), first dose now</w:t>
      </w:r>
    </w:p>
    <w:p w14:paraId="666AD673"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 </w:t>
      </w:r>
    </w:p>
    <w:p w14:paraId="2BB1E30E" w14:textId="77777777" w:rsidR="00E11B15" w:rsidRPr="00E11B15" w:rsidRDefault="00E11B15" w:rsidP="00E11B15">
      <w:pPr>
        <w:shd w:val="clear" w:color="auto" w:fill="FFFFFF"/>
        <w:spacing w:after="240"/>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If fecal or farm soil exposure:</w:t>
      </w:r>
    </w:p>
    <w:p w14:paraId="62604B6D" w14:textId="77777777" w:rsidR="00E11B15" w:rsidRPr="00E11B15" w:rsidRDefault="00E11B15" w:rsidP="00E11B15">
      <w:pPr>
        <w:shd w:val="clear" w:color="auto" w:fill="FFFFFF"/>
        <w:rPr>
          <w:rFonts w:ascii="Open Sans" w:eastAsia="Times New Roman" w:hAnsi="Open Sans" w:cs="Open Sans"/>
          <w:color w:val="383746"/>
          <w:sz w:val="22"/>
          <w:szCs w:val="22"/>
        </w:rPr>
      </w:pPr>
      <w:r w:rsidRPr="00E11B15">
        <w:rPr>
          <w:rFonts w:ascii="Open Sans" w:eastAsia="Times New Roman" w:hAnsi="Open Sans" w:cs="Open Sans"/>
          <w:color w:val="383746"/>
          <w:sz w:val="22"/>
          <w:szCs w:val="22"/>
        </w:rPr>
        <w:t>penicillin G 4 million units every 4 hours x 6 doses (24 hours) + clindamycin 900 mg IV every 8 hours x 3 doses (24 hours), MUST BE RE-ORDERED if wound is not closed</w:t>
      </w:r>
    </w:p>
    <w:p w14:paraId="25E00357" w14:textId="77777777" w:rsidR="002E68D9" w:rsidRDefault="002E68D9"/>
    <w:sectPr w:rsidR="002E68D9" w:rsidSect="000D2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Open Sans">
    <w:altName w:val="Calibri"/>
    <w:panose1 w:val="020B0604020202020204"/>
    <w:charset w:val="00"/>
    <w:family w:val="swiss"/>
    <w:pitch w:val="variable"/>
    <w:sig w:usb0="E00002EF" w:usb1="4000205B" w:usb2="00000028" w:usb3="00000000" w:csb0="0000019F" w:csb1="00000000"/>
  </w:font>
  <w:font w:name="inherit">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B15"/>
    <w:rsid w:val="000D2523"/>
    <w:rsid w:val="002E68D9"/>
    <w:rsid w:val="00E11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C76D56"/>
  <w14:defaultImageDpi w14:val="32767"/>
  <w15:chartTrackingRefBased/>
  <w15:docId w15:val="{96978471-9DB6-874E-9BBD-E2D4B5B31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B1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11B1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1B1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11B1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11B15"/>
  </w:style>
  <w:style w:type="character" w:styleId="Hyperlink">
    <w:name w:val="Hyperlink"/>
    <w:basedOn w:val="DefaultParagraphFont"/>
    <w:uiPriority w:val="99"/>
    <w:semiHidden/>
    <w:unhideWhenUsed/>
    <w:rsid w:val="00E11B15"/>
    <w:rPr>
      <w:color w:val="0000FF"/>
      <w:u w:val="single"/>
    </w:rPr>
  </w:style>
  <w:style w:type="character" w:customStyle="1" w:styleId="Heading1Char">
    <w:name w:val="Heading 1 Char"/>
    <w:basedOn w:val="DefaultParagraphFont"/>
    <w:link w:val="Heading1"/>
    <w:uiPriority w:val="9"/>
    <w:rsid w:val="00E11B1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691313">
      <w:bodyDiv w:val="1"/>
      <w:marLeft w:val="0"/>
      <w:marRight w:val="0"/>
      <w:marTop w:val="0"/>
      <w:marBottom w:val="0"/>
      <w:divBdr>
        <w:top w:val="none" w:sz="0" w:space="0" w:color="auto"/>
        <w:left w:val="none" w:sz="0" w:space="0" w:color="auto"/>
        <w:bottom w:val="none" w:sz="0" w:space="0" w:color="auto"/>
        <w:right w:val="none" w:sz="0" w:space="0" w:color="auto"/>
      </w:divBdr>
    </w:div>
    <w:div w:id="1872912205">
      <w:bodyDiv w:val="1"/>
      <w:marLeft w:val="0"/>
      <w:marRight w:val="0"/>
      <w:marTop w:val="0"/>
      <w:marBottom w:val="0"/>
      <w:divBdr>
        <w:top w:val="none" w:sz="0" w:space="0" w:color="auto"/>
        <w:left w:val="none" w:sz="0" w:space="0" w:color="auto"/>
        <w:bottom w:val="none" w:sz="0" w:space="0" w:color="auto"/>
        <w:right w:val="none" w:sz="0" w:space="0" w:color="auto"/>
      </w:divBdr>
      <w:divsChild>
        <w:div w:id="1167012834">
          <w:marLeft w:val="0"/>
          <w:marRight w:val="0"/>
          <w:marTop w:val="0"/>
          <w:marBottom w:val="360"/>
          <w:divBdr>
            <w:top w:val="none" w:sz="0" w:space="0" w:color="auto"/>
            <w:left w:val="none" w:sz="0" w:space="0" w:color="auto"/>
            <w:bottom w:val="none" w:sz="0" w:space="0" w:color="auto"/>
            <w:right w:val="none" w:sz="0" w:space="0" w:color="auto"/>
          </w:divBdr>
          <w:divsChild>
            <w:div w:id="1765345676">
              <w:marLeft w:val="0"/>
              <w:marRight w:val="0"/>
              <w:marTop w:val="0"/>
              <w:marBottom w:val="0"/>
              <w:divBdr>
                <w:top w:val="none" w:sz="0" w:space="0" w:color="auto"/>
                <w:left w:val="none" w:sz="0" w:space="0" w:color="auto"/>
                <w:bottom w:val="none" w:sz="0" w:space="0" w:color="auto"/>
                <w:right w:val="none" w:sz="0" w:space="0" w:color="auto"/>
              </w:divBdr>
              <w:divsChild>
                <w:div w:id="543908623">
                  <w:marLeft w:val="0"/>
                  <w:marRight w:val="0"/>
                  <w:marTop w:val="0"/>
                  <w:marBottom w:val="0"/>
                  <w:divBdr>
                    <w:top w:val="none" w:sz="0" w:space="0" w:color="auto"/>
                    <w:left w:val="none" w:sz="0" w:space="0" w:color="auto"/>
                    <w:bottom w:val="none" w:sz="0" w:space="0" w:color="auto"/>
                    <w:right w:val="none" w:sz="0" w:space="0" w:color="auto"/>
                  </w:divBdr>
                  <w:divsChild>
                    <w:div w:id="687604678">
                      <w:marLeft w:val="0"/>
                      <w:marRight w:val="0"/>
                      <w:marTop w:val="0"/>
                      <w:marBottom w:val="0"/>
                      <w:divBdr>
                        <w:top w:val="none" w:sz="0" w:space="0" w:color="auto"/>
                        <w:left w:val="none" w:sz="0" w:space="0" w:color="auto"/>
                        <w:bottom w:val="none" w:sz="0" w:space="0" w:color="auto"/>
                        <w:right w:val="none" w:sz="0" w:space="0" w:color="auto"/>
                      </w:divBdr>
                    </w:div>
                    <w:div w:id="154235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78074">
          <w:marLeft w:val="0"/>
          <w:marRight w:val="0"/>
          <w:marTop w:val="0"/>
          <w:marBottom w:val="360"/>
          <w:divBdr>
            <w:top w:val="none" w:sz="0" w:space="0" w:color="auto"/>
            <w:left w:val="none" w:sz="0" w:space="0" w:color="auto"/>
            <w:bottom w:val="none" w:sz="0" w:space="0" w:color="auto"/>
            <w:right w:val="none" w:sz="0" w:space="0" w:color="auto"/>
          </w:divBdr>
          <w:divsChild>
            <w:div w:id="1481069966">
              <w:marLeft w:val="0"/>
              <w:marRight w:val="0"/>
              <w:marTop w:val="0"/>
              <w:marBottom w:val="0"/>
              <w:divBdr>
                <w:top w:val="none" w:sz="0" w:space="0" w:color="auto"/>
                <w:left w:val="none" w:sz="0" w:space="0" w:color="auto"/>
                <w:bottom w:val="none" w:sz="0" w:space="0" w:color="auto"/>
                <w:right w:val="none" w:sz="0" w:space="0" w:color="auto"/>
              </w:divBdr>
              <w:divsChild>
                <w:div w:id="7578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perpile.com/c/X7jju5/Q6KC" TargetMode="External"/><Relationship Id="rId5" Type="http://schemas.openxmlformats.org/officeDocument/2006/relationships/hyperlink" Target="https://paperpile.com/c/X7jju5/6dC3+tRSE" TargetMode="External"/><Relationship Id="rId4" Type="http://schemas.openxmlformats.org/officeDocument/2006/relationships/hyperlink" Target="https://paperpile.com/c/X7jju5/UT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4059</Characters>
  <Application>Microsoft Office Word</Application>
  <DocSecurity>0</DocSecurity>
  <Lines>33</Lines>
  <Paragraphs>9</Paragraphs>
  <ScaleCrop>false</ScaleCrop>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Martinez-Paz</dc:creator>
  <cp:keywords/>
  <dc:description/>
  <cp:lastModifiedBy>Natalia Martinez-Paz</cp:lastModifiedBy>
  <cp:revision>1</cp:revision>
  <dcterms:created xsi:type="dcterms:W3CDTF">2019-02-19T19:13:00Z</dcterms:created>
  <dcterms:modified xsi:type="dcterms:W3CDTF">2019-02-19T19:13:00Z</dcterms:modified>
</cp:coreProperties>
</file>