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F6EE3" w:rsidP="003F6EE3" w:rsidRDefault="003F6EE3" w14:paraId="138347D6" w14:textId="7777777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B6B70" wp14:editId="424E8F00">
            <wp:simplePos x="0" y="0"/>
            <wp:positionH relativeFrom="margin">
              <wp:posOffset>1731645</wp:posOffset>
            </wp:positionH>
            <wp:positionV relativeFrom="margin">
              <wp:posOffset>-504730</wp:posOffset>
            </wp:positionV>
            <wp:extent cx="2514600" cy="754380"/>
            <wp:effectExtent l="0" t="0" r="0" b="0"/>
            <wp:wrapSquare wrapText="bothSides"/>
            <wp:docPr id="303801434" name="Picture 30380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706792C">
        <w:rPr/>
        <w:t/>
      </w:r>
      <w:r w:rsidR="3CBCB079">
        <w:rPr/>
        <w:t/>
      </w:r>
    </w:p>
    <w:p w:rsidRPr="00D31AEA" w:rsidR="003F6EE3" w:rsidP="003F6EE3" w:rsidRDefault="003F6EE3" w14:paraId="2E679AA2" w14:textId="36EA58F2">
      <w:pP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Hospital: </w:t>
      </w:r>
      <w:r w:rsidR="008E7D13"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Confluence Health </w:t>
      </w:r>
    </w:p>
    <w:p w:rsidRPr="00D31AEA" w:rsidR="003F6EE3" w:rsidP="6878DDD5" w:rsidRDefault="003F6EE3" w14:paraId="57A4140A" w14:textId="52E77DCC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</w:pPr>
      <w:r w:rsidRPr="6878DDD5" w:rsidR="6878DDD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 xml:space="preserve">Presenter: Khoa </w:t>
      </w:r>
      <w:r w:rsidRPr="6878DDD5" w:rsidR="6878DDD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>Nguyen</w:t>
      </w:r>
      <w:bookmarkStart w:name="_GoBack" w:id="0"/>
      <w:bookmarkEnd w:id="0"/>
    </w:p>
    <w:p w:rsidR="003F6EE3" w:rsidP="003F6EE3" w:rsidRDefault="003F6EE3" w14:paraId="4CA19FA5" w14:textId="08CF6F24">
      <w:pP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Question/case summary: </w:t>
      </w:r>
    </w:p>
    <w:p w:rsidR="008E7D13" w:rsidP="1E722E2C" w:rsidRDefault="008E7D13" w14:paraId="1894D43E" w14:textId="1741176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</w:pPr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 xml:space="preserve">The AASLD guidelines recommend CTX for 7 days for SBP PPX in </w:t>
      </w:r>
      <w:proofErr w:type="spellStart"/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>cirrhotics</w:t>
      </w:r>
      <w:proofErr w:type="spellEnd"/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 xml:space="preserve"> with a GI bleed, but when I looked at the sources, they seem to only be talking about variceal bleeds. </w:t>
      </w:r>
      <w:proofErr w:type="gramStart"/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>So</w:t>
      </w:r>
      <w:proofErr w:type="gramEnd"/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 xml:space="preserve"> if they scoped a patient and found GI bleeding from a non-</w:t>
      </w:r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>varice</w:t>
      </w:r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 xml:space="preserve">, is CTX </w:t>
      </w:r>
      <w:proofErr w:type="spellStart"/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>ppx</w:t>
      </w:r>
      <w:proofErr w:type="spellEnd"/>
      <w:r w:rsidRPr="1E722E2C" w:rsidR="1E722E2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</w:rPr>
        <w:t xml:space="preserve"> still indicated?</w:t>
      </w:r>
    </w:p>
    <w:p w:rsidR="008E7D13" w:rsidP="008E7D13" w:rsidRDefault="008E7D13" w14:paraId="1207EA0D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3F6EE3" w:rsidP="003F6EE3" w:rsidRDefault="008E7D13" w14:paraId="2A3C84B5" w14:textId="7F994DF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 xml:space="preserve">The guidelines recommend PO norfloxacin for SPB </w:t>
      </w:r>
      <w:proofErr w:type="spellStart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ppx</w:t>
      </w:r>
      <w:proofErr w:type="spellEnd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 xml:space="preserve"> as a step down, but since that's not available, they say you can also use cipro PO. Levofloxacin isn't listed as an option for SBP </w:t>
      </w:r>
      <w:proofErr w:type="spellStart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ppx</w:t>
      </w:r>
      <w:proofErr w:type="spellEnd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 xml:space="preserve">. The theory seems to be that you want an </w:t>
      </w:r>
      <w:proofErr w:type="spellStart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abx</w:t>
      </w:r>
      <w:proofErr w:type="spellEnd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 xml:space="preserve"> that has the lowest bioavailability so it stays in the gut. Norfloxacin has about a 40% bioavailability, cipro moves up to about 75%, so with levofloxacin at nearly 99% bioavailability, it doesn't seem like the best option, but can levofloxacin still be considered if they wanted </w:t>
      </w:r>
      <w:proofErr w:type="gramStart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an</w:t>
      </w:r>
      <w:proofErr w:type="gramEnd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 xml:space="preserve"> levofloxacin based H pylori </w:t>
      </w:r>
      <w:proofErr w:type="spellStart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tx</w:t>
      </w:r>
      <w:proofErr w:type="spellEnd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 xml:space="preserve"> and SBP </w:t>
      </w:r>
      <w:proofErr w:type="spellStart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ppx</w:t>
      </w:r>
      <w:proofErr w:type="spellEnd"/>
      <w:r w:rsidRPr="008E7D13">
        <w:rPr>
          <w:rFonts w:ascii="Calibri" w:hAnsi="Calibri" w:eastAsia="Times New Roman" w:cs="Times New Roman"/>
          <w:color w:val="000000"/>
          <w:sz w:val="24"/>
          <w:szCs w:val="24"/>
        </w:rPr>
        <w:t>?</w:t>
      </w:r>
    </w:p>
    <w:p w:rsidRPr="008E7D13" w:rsidR="008E7D13" w:rsidP="008E7D13" w:rsidRDefault="008E7D13" w14:paraId="32BA76FF" w14:textId="77777777">
      <w:pPr>
        <w:pStyle w:val="ListParagraph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8E7D13" w:rsidR="008E7D13" w:rsidP="008E7D13" w:rsidRDefault="008E7D13" w14:paraId="3750D2F9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3F6EE3" w:rsidP="003F6EE3" w:rsidRDefault="003F6EE3" w14:paraId="6EBBECFE" w14:textId="6D537CDF">
      <w:pP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 w:rsidRPr="042F2E54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UW TASP Recommendations</w:t>
      </w:r>
      <w:r w:rsidR="008E7D13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:</w:t>
      </w:r>
    </w:p>
    <w:p w:rsidR="003F6EE3" w:rsidP="003F6EE3" w:rsidRDefault="003F6EE3" w14:paraId="3A7FB2E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6878DDD5" w:rsidRDefault="003F6EE3" w14:paraId="62585D9D" w14:textId="0092BEB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1.) Antibiotic prophylaxis in patients with cirrhosis and upper gastrointestinal bleeding has been shown to significantly reduce the risk of bacterial infections. A meta-analysis by Chavez-Tapia and colleagues compared multiple trials, the majority with variceal bleeding, and found antibiotic prophylaxis compared to placebo was associated with </w:t>
      </w:r>
      <w:proofErr w:type="gramStart"/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>a number of</w:t>
      </w:r>
      <w:proofErr w:type="gramEnd"/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improved outcomes, including and importantly 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decreased 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overall 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mortality. In the setting of non-variceal bleeding, there is some data reporting differences in mortality when administering antibiotic prophylaxis in 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cirrhotic 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patients with peptic ulcer disease. While antibiotic prophylaxis was not shown to be statistically significant, the trend towards decreased mortality is suggestive of potential benefit. </w:t>
      </w:r>
    </w:p>
    <w:p w:rsidR="003F6EE3" w:rsidP="1BB71976" w:rsidRDefault="003F6EE3" w14:paraId="6C37F468" w14:textId="6C4DE62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1BB71976" w:rsidRDefault="003F6EE3" w14:paraId="5000023E" w14:textId="48E8066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Our recommendations for antibiotic prophylaxis in patients with cirrhosis and GI bleeding are as follows:</w:t>
      </w:r>
    </w:p>
    <w:p w:rsidR="1BB71976" w:rsidP="1BB71976" w:rsidRDefault="1BB71976" w14:paraId="55054CF0" w14:textId="5348ED0A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1BB71976" w:rsidP="1BB71976" w:rsidRDefault="1BB71976" w14:paraId="3E1F200D" w14:textId="14582EF4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In the setting of upper GI bleeding in cirrhotic patients, both variceal and non-variceal bleeds, treating with antibiotics is recommended. </w:t>
      </w:r>
    </w:p>
    <w:p w:rsidR="1BB71976" w:rsidP="1BB71976" w:rsidRDefault="1BB71976" w14:paraId="305A4996" w14:textId="0B7FB0E8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In the setting of lower GI bleeding in cirrhotic patients, antibiotic prophylaxis is not warranted and is most commonly caused by portal hypertensive </w:t>
      </w:r>
      <w:proofErr w:type="spellStart"/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colopathy</w:t>
      </w:r>
      <w:proofErr w:type="spellEnd"/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and hemorrhoids with surgical interventions being preferred therapy.  </w:t>
      </w:r>
    </w:p>
    <w:p w:rsidR="003F6EE3" w:rsidP="003F6EE3" w:rsidRDefault="003F6EE3" w14:paraId="2B62DD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1BB71976" w:rsidRDefault="003F6EE3" w14:paraId="3C8913E1" w14:textId="6DC5EB2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1BB71976" w:rsidRDefault="003F6EE3" w14:paraId="5FE45254" w14:textId="38E6923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2.) Historically, oral administration of non-absorbable antibiotics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had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bec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o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me the standard of care for preventing bacterial infections in cirrhotic patients with GI bleeding after the pioneer study published by </w:t>
      </w:r>
      <w:proofErr w:type="spellStart"/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Rimola</w:t>
      </w:r>
      <w:proofErr w:type="spellEnd"/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and colleagues in 1985.  While the AASLD guidelines do exclude levofloxacin as a therapeutic option for SBP treatment and prophylaxis, levofloxacin is considered a newer fluoroquinolone agent that was not available to be studied in clinical trials during the 1980’s and early 1990’s, and therefore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is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not part of the AASLD guidelines. Given levofloxacin’s bacterial spectrum, favorable pharmacokinetics, and convenience of daily dosing, it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can be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an option for both SBP prophylaxis and treatment. Though levofloxacin does have much higher bioavailability compared to norfloxacin and ciprofloxacin, trimethoprim/sulfamethoxazole also has high bioavailability and is recommended as an option for SBP prophylaxis suggesting other beneficial mechanisms other than the absorption component of antibiotics. </w:t>
      </w:r>
    </w:p>
    <w:p w:rsidR="003F6EE3" w:rsidP="1BB71976" w:rsidRDefault="003F6EE3" w14:paraId="40F41153" w14:textId="3C5ADDB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1BB71976" w:rsidRDefault="003F6EE3" w14:paraId="64B29E8B" w14:textId="1BD1B18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O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ur recommendations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for levofloxacin use in patients with SBP </w:t>
      </w:r>
      <w:r w:rsidRPr="1BB71976" w:rsidR="1BB71976">
        <w:rPr>
          <w:rStyle w:val="normaltextrun"/>
          <w:rFonts w:ascii="Calibri" w:hAnsi="Calibri" w:cs="Segoe UI"/>
          <w:color w:val="000000" w:themeColor="text1" w:themeTint="FF" w:themeShade="FF"/>
        </w:rPr>
        <w:t>are as follows:</w:t>
      </w:r>
    </w:p>
    <w:p w:rsidR="3CBCB079" w:rsidP="3CBCB079" w:rsidRDefault="3CBCB079" w14:paraId="7548EDFD" w14:textId="61A2C9FF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3CBCB079" w:rsidP="3CBCB079" w:rsidRDefault="3CBCB079" w14:paraId="1956F5E7" w14:textId="20ED62D3">
      <w:pPr>
        <w:pStyle w:val="paragraph"/>
        <w:numPr>
          <w:ilvl w:val="0"/>
          <w:numId w:val="3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3CBCB079" w:rsidR="3CBCB079">
        <w:rPr>
          <w:rStyle w:val="normaltextrun"/>
          <w:rFonts w:ascii="Calibri" w:hAnsi="Calibri" w:cs="Segoe UI"/>
          <w:color w:val="000000" w:themeColor="text1" w:themeTint="FF" w:themeShade="FF"/>
        </w:rPr>
        <w:t>Uncomplicated</w:t>
      </w:r>
      <w:r w:rsidRPr="3CBCB079" w:rsidR="3CBCB079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SBP treatment: ciprofloxacin 500mg PO BID or levofloxacin 500mg PO daily</w:t>
      </w:r>
    </w:p>
    <w:p w:rsidR="3CBCB079" w:rsidP="6878DDD5" w:rsidRDefault="3CBCB079" w14:paraId="5866132A" w14:textId="3A93D0E0">
      <w:pPr>
        <w:pStyle w:val="paragraph"/>
        <w:numPr>
          <w:ilvl w:val="0"/>
          <w:numId w:val="3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>SBP prophylaxis: ciprofloxacin 500mg PO BID, trimethoprim/sulfamethoxazole 1 double strength PO daily, or levofloxacin 250mg PO daily</w:t>
      </w:r>
    </w:p>
    <w:p w:rsidR="6878DDD5" w:rsidP="6878DDD5" w:rsidRDefault="6878DDD5" w14:paraId="069FDEE5" w14:textId="6082DD4A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6878DDD5" w:rsidP="6878DDD5" w:rsidRDefault="6878DDD5" w14:paraId="20F68FEC" w14:textId="713B67A8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Long term use of the effects of chronic 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>antibiotic</w:t>
      </w:r>
      <w:r w:rsidRPr="6878DDD5" w:rsidR="6878DDD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therapy for SBP prophylaxis has not been studies and some concerns have been raised regarding emergence of resistance. Risks and benefits of this practice remain yet to be fully elucidated. </w:t>
      </w:r>
    </w:p>
    <w:p w:rsidR="3CBCB079" w:rsidP="3CBCB079" w:rsidRDefault="3CBCB079" w14:paraId="771605C5" w14:textId="1810F0AF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1BB71976" w:rsidRDefault="003F6EE3" w14:paraId="33792ABD" w14:textId="4B9AE50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:</w:t>
      </w:r>
    </w:p>
    <w:p w:rsidR="7706792C" w:rsidP="1BB71976" w:rsidRDefault="7706792C" w14:paraId="5827FF85" w14:textId="18184C89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Chavez‐Tapia NC, Barrientos‐Gutierrez T, Tellez‐Avila F, Soares‐Weiser K, Mendez‐Sanchez N, </w:t>
      </w:r>
      <w:proofErr w:type="spellStart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Gluud</w:t>
      </w:r>
      <w:proofErr w:type="spellEnd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C, Uribe M. Meta‐analysis: antibiotic prophylaxis for cirrhotic patients with upper gastrointestinal bleeding–an updated Cochrane review. Alimentary pharmacology &amp; therapeutics. 2011 Sep;34(5):509-18.</w:t>
      </w:r>
    </w:p>
    <w:p w:rsidR="1BB71976" w:rsidP="1BB71976" w:rsidRDefault="1BB71976" w14:paraId="068FCFB6" w14:textId="2E865948">
      <w:pPr>
        <w:pStyle w:val="paragraph"/>
        <w:numPr>
          <w:ilvl w:val="0"/>
          <w:numId w:val="2"/>
        </w:numPr>
        <w:spacing w:before="0" w:beforeAutospacing="off" w:after="0" w:afterAutospacing="off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Yang SC, Chen KC, Tai WC et al. The influential roles of antibiotics prophylaxis in cirrhotic patients with peptic ulcer bleeding after initial endoscopic treatments. </w:t>
      </w:r>
      <w:proofErr w:type="spellStart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PLoS</w:t>
      </w:r>
      <w:proofErr w:type="spellEnd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One. 2014; 9(5): e96394. </w:t>
      </w:r>
    </w:p>
    <w:p w:rsidR="7706792C" w:rsidP="1BB71976" w:rsidRDefault="7706792C" w14:paraId="374E4021" w14:textId="6C263200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Liou IW, Kim HN. 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Recognition and Management of Spontaneous Bacterial Peritonitis.  Hepatitis C Online. Updated April 12, 2018.  </w:t>
      </w:r>
      <w:r>
        <w:br/>
      </w:r>
      <w:hyperlink r:id="Ra0af9568d83047d9">
        <w:r w:rsidRPr="1BB71976" w:rsidR="1BB71976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US"/>
          </w:rPr>
          <w:t>https://www.hepatitisc.uw.edu/go/management-cirrhosis-related-complications/spontaneous-bacterial-peritonitis-recognition-management/core-concept/all</w:t>
        </w:r>
      </w:hyperlink>
      <w:r w:rsidRPr="1BB71976" w:rsidR="1BB7197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</w:t>
      </w: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ccessed August 20, 2019. </w:t>
      </w:r>
    </w:p>
    <w:p w:rsidR="7706792C" w:rsidP="1BB71976" w:rsidRDefault="7706792C" w14:paraId="1285CD51" w14:textId="00FD540A">
      <w:pPr>
        <w:pStyle w:val="paragraph"/>
        <w:numPr>
          <w:ilvl w:val="0"/>
          <w:numId w:val="2"/>
        </w:numPr>
        <w:spacing w:before="0" w:beforeAutospacing="off" w:after="0" w:afterAutospacing="off"/>
        <w:ind/>
        <w:rPr>
          <w:rStyle w:val="normaltextrun"/>
          <w:color w:val="000000" w:themeColor="text1" w:themeTint="FF" w:themeShade="FF"/>
          <w:sz w:val="24"/>
          <w:szCs w:val="24"/>
        </w:rPr>
      </w:pPr>
      <w:proofErr w:type="spellStart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Rimola</w:t>
      </w:r>
      <w:proofErr w:type="spellEnd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A, Bory F, Teres J, et al. Oral, non-absorbable antibiotics prevent infection in </w:t>
      </w:r>
      <w:proofErr w:type="spellStart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cirrhotics</w:t>
      </w:r>
      <w:proofErr w:type="spellEnd"/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with gastrointestinal hemorrhage. Hepatology. 1985; 5(3):463-467.</w:t>
      </w:r>
    </w:p>
    <w:p w:rsidR="7706792C" w:rsidP="1BB71976" w:rsidRDefault="7706792C" w14:paraId="0EFF9F96" w14:textId="5F6BF89C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Style w:val="normaltextrun"/>
          <w:color w:val="000000" w:themeColor="text1" w:themeTint="FF" w:themeShade="FF"/>
          <w:sz w:val="24"/>
          <w:szCs w:val="24"/>
        </w:rPr>
      </w:pPr>
      <w:r w:rsidRPr="1BB71976" w:rsidR="1BB7197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Bernard B et al. Antibiotic prophylaxis for the prevention of bacterial infections in cirrhotic patients with gastrointestinal bleeding: a meta-analysis. Hepatology 1999;29(6):1655-61.</w:t>
      </w:r>
    </w:p>
    <w:p w:rsidR="003F6EE3" w:rsidP="003F6EE3" w:rsidRDefault="003F6EE3" w14:paraId="4A69723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003F6EE3" w:rsidRDefault="003F6EE3" w14:paraId="4A50AFB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003F6EE3" w:rsidRDefault="003F6EE3" w14:paraId="14717D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003F6EE3" w:rsidRDefault="003F6EE3" w14:paraId="60F80E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On behalf of the UW TASP Specialist Team:  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274715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6320EDB7" w:rsidRDefault="003F6EE3" w14:paraId="6D1652D3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i w:val="1"/>
          <w:iCs w:val="1"/>
          <w:sz w:val="18"/>
          <w:szCs w:val="18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John Lynch, MD MPH</w:t>
      </w:r>
      <w:r w:rsidRPr="6320EDB7" w:rsidR="6320EDB7">
        <w:rPr>
          <w:rStyle w:val="normaltextrun"/>
          <w:rFonts w:ascii="Calibri" w:hAnsi="Calibri" w:cs="Segoe UI"/>
          <w:i w:val="1"/>
          <w:iCs w:val="1"/>
        </w:rPr>
        <w:t> </w:t>
      </w:r>
      <w:r w:rsidRPr="6320EDB7" w:rsidR="6320EDB7">
        <w:rPr>
          <w:rStyle w:val="eop"/>
          <w:rFonts w:ascii="Calibri" w:hAnsi="Calibri" w:cs="Segoe UI"/>
          <w:i w:val="1"/>
          <w:iCs w:val="1"/>
        </w:rPr>
        <w:t> </w:t>
      </w:r>
    </w:p>
    <w:p w:rsidR="003F6EE3" w:rsidP="6320EDB7" w:rsidRDefault="003F6EE3" w14:paraId="0C745A79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i w:val="1"/>
          <w:iCs w:val="1"/>
          <w:sz w:val="18"/>
          <w:szCs w:val="18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Chloe Bryson-Cahn, MD</w:t>
      </w:r>
      <w:r w:rsidRPr="6320EDB7" w:rsidR="6320EDB7">
        <w:rPr>
          <w:rStyle w:val="normaltextrun"/>
          <w:rFonts w:ascii="Calibri" w:hAnsi="Calibri" w:cs="Segoe UI"/>
          <w:i w:val="1"/>
          <w:iCs w:val="1"/>
        </w:rPr>
        <w:t> </w:t>
      </w:r>
      <w:r w:rsidRPr="6320EDB7" w:rsidR="6320EDB7">
        <w:rPr>
          <w:rStyle w:val="eop"/>
          <w:rFonts w:ascii="Calibri" w:hAnsi="Calibri" w:cs="Segoe UI"/>
          <w:i w:val="1"/>
          <w:iCs w:val="1"/>
        </w:rPr>
        <w:t> </w:t>
      </w:r>
    </w:p>
    <w:p w:rsidR="003F6EE3" w:rsidP="6320EDB7" w:rsidRDefault="003F6EE3" w14:paraId="66BF8422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i w:val="1"/>
          <w:iCs w:val="1"/>
          <w:sz w:val="18"/>
          <w:szCs w:val="18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Jeannie Chan, PharmD</w:t>
      </w:r>
      <w:r w:rsidRPr="6320EDB7" w:rsidR="6320EDB7">
        <w:rPr>
          <w:rStyle w:val="normaltextrun"/>
          <w:rFonts w:ascii="Calibri" w:hAnsi="Calibri" w:cs="Segoe UI"/>
          <w:i w:val="1"/>
          <w:iCs w:val="1"/>
        </w:rPr>
        <w:t> </w:t>
      </w:r>
      <w:r w:rsidRPr="6320EDB7" w:rsidR="6320EDB7">
        <w:rPr>
          <w:rStyle w:val="eop"/>
          <w:rFonts w:ascii="Calibri" w:hAnsi="Calibri" w:cs="Segoe UI"/>
          <w:i w:val="1"/>
          <w:iCs w:val="1"/>
        </w:rPr>
        <w:t> </w:t>
      </w:r>
    </w:p>
    <w:p w:rsidR="6320EDB7" w:rsidP="6320EDB7" w:rsidRDefault="6320EDB7" w14:paraId="341BAB1F" w14:textId="14EB77C3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Joanne Huang, PharmD, PGY2 Resident</w:t>
      </w:r>
    </w:p>
    <w:p w:rsidR="003F6EE3" w:rsidP="6320EDB7" w:rsidRDefault="003F6EE3" w14:paraId="5C3D04AF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Segoe UI"/>
          <w:i w:val="1"/>
          <w:iCs w:val="1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Zahra </w:t>
      </w:r>
      <w:proofErr w:type="spellStart"/>
      <w:r w:rsidRPr="6320EDB7" w:rsidR="6320EDB7">
        <w:rPr>
          <w:rStyle w:val="spellingerror"/>
          <w:rFonts w:ascii="Calibri" w:hAnsi="Calibri" w:cs="Segoe UI"/>
          <w:i w:val="1"/>
          <w:iCs w:val="1"/>
          <w:color w:val="000000" w:themeColor="text1" w:themeTint="FF" w:themeShade="FF"/>
        </w:rPr>
        <w:t>Kassamali</w:t>
      </w:r>
      <w:proofErr w:type="spellEnd"/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 Escobar, PharmD</w:t>
      </w:r>
      <w:r w:rsidRPr="6320EDB7" w:rsidR="6320EDB7">
        <w:rPr>
          <w:rStyle w:val="normaltextrun"/>
          <w:rFonts w:ascii="Calibri" w:hAnsi="Calibri" w:cs="Segoe UI"/>
          <w:i w:val="1"/>
          <w:iCs w:val="1"/>
        </w:rPr>
        <w:t> </w:t>
      </w:r>
      <w:r w:rsidRPr="6320EDB7" w:rsidR="6320EDB7">
        <w:rPr>
          <w:rStyle w:val="eop"/>
          <w:rFonts w:ascii="Calibri" w:hAnsi="Calibri" w:cs="Segoe UI"/>
          <w:i w:val="1"/>
          <w:iCs w:val="1"/>
        </w:rPr>
        <w:t> </w:t>
      </w:r>
    </w:p>
    <w:p w:rsidR="6320EDB7" w:rsidP="6320EDB7" w:rsidRDefault="6320EDB7" w14:paraId="36D441AE" w14:textId="0585DFF3">
      <w:pPr>
        <w:pStyle w:val="paragraph"/>
        <w:spacing w:before="0" w:beforeAutospacing="off" w:after="0" w:afterAutospacing="off"/>
        <w:rPr>
          <w:rStyle w:val="eop"/>
          <w:rFonts w:ascii="Calibri" w:hAnsi="Calibri" w:cs="Segoe UI"/>
          <w:i w:val="1"/>
          <w:iCs w:val="1"/>
        </w:rPr>
      </w:pPr>
      <w:r w:rsidRPr="6320EDB7" w:rsidR="6320EDB7">
        <w:rPr>
          <w:rStyle w:val="eop"/>
          <w:rFonts w:ascii="Calibri" w:hAnsi="Calibri" w:cs="Segoe UI"/>
          <w:i w:val="1"/>
          <w:iCs w:val="1"/>
        </w:rPr>
        <w:t>Nandita Mani, MD, Infectious Diseases Fellow</w:t>
      </w:r>
    </w:p>
    <w:p w:rsidR="003F6EE3" w:rsidP="6320EDB7" w:rsidRDefault="003F6EE3" w14:paraId="2BE9A2D7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i w:val="1"/>
          <w:iCs w:val="1"/>
          <w:sz w:val="18"/>
          <w:szCs w:val="18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Rupali Jain, PharmD</w:t>
      </w:r>
      <w:r w:rsidRPr="6320EDB7" w:rsidR="6320EDB7">
        <w:rPr>
          <w:rStyle w:val="normaltextrun"/>
          <w:rFonts w:ascii="Calibri" w:hAnsi="Calibri" w:cs="Segoe UI"/>
          <w:i w:val="1"/>
          <w:iCs w:val="1"/>
        </w:rPr>
        <w:t> </w:t>
      </w:r>
      <w:r w:rsidRPr="6320EDB7" w:rsidR="6320EDB7">
        <w:rPr>
          <w:rStyle w:val="eop"/>
          <w:rFonts w:ascii="Calibri" w:hAnsi="Calibri" w:cs="Segoe UI"/>
          <w:i w:val="1"/>
          <w:iCs w:val="1"/>
        </w:rPr>
        <w:t> </w:t>
      </w:r>
    </w:p>
    <w:p w:rsidR="003F6EE3" w:rsidP="6320EDB7" w:rsidRDefault="003F6EE3" w14:paraId="3D18CFD9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20EDB7" w:rsidR="6320EDB7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Paul Pottinger, MD FIDSA</w:t>
      </w:r>
      <w:r w:rsidRPr="6320EDB7" w:rsidR="6320EDB7">
        <w:rPr>
          <w:rStyle w:val="normaltextrun"/>
          <w:rFonts w:ascii="Calibri" w:hAnsi="Calibri" w:cs="Segoe UI"/>
          <w:i w:val="1"/>
          <w:iCs w:val="1"/>
        </w:rPr>
        <w:t> </w:t>
      </w:r>
      <w:r w:rsidRPr="6320EDB7" w:rsidR="6320EDB7">
        <w:rPr>
          <w:rStyle w:val="eop"/>
          <w:rFonts w:ascii="Calibri" w:hAnsi="Calibri" w:cs="Segoe UI"/>
        </w:rPr>
        <w:t> </w:t>
      </w:r>
    </w:p>
    <w:p w:rsidR="003F6EE3" w:rsidP="003F6EE3" w:rsidRDefault="003F6EE3" w14:paraId="7BEA85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6F005A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0"/>
          <w:szCs w:val="20"/>
        </w:rPr>
        <w:t>PLEASE NOTE that UW TASP case consultations do </w:t>
      </w:r>
      <w:r>
        <w:rPr>
          <w:rStyle w:val="normaltextrun"/>
          <w:rFonts w:ascii="Calibri" w:hAnsi="Calibri" w:cs="Segoe UI"/>
          <w:color w:val="000000"/>
          <w:sz w:val="20"/>
          <w:szCs w:val="20"/>
          <w:u w:val="single"/>
        </w:rPr>
        <w:t>not</w:t>
      </w:r>
      <w:r>
        <w:rPr>
          <w:rStyle w:val="normaltextrun"/>
          <w:rFonts w:ascii="Calibri" w:hAnsi="Calibri" w:cs="Segoe UI"/>
          <w:color w:val="000000"/>
          <w:sz w:val="20"/>
          <w:szCs w:val="20"/>
        </w:rPr>
        <w:t> create or otherwise establish a provider-patient relationship between any UW Medicine Health Care Professional and any patient whose case is being presented in a UW TASP setting.  A provider-patient relationship between a UW Medicine Health Care Professional and a patient whose case was presented at UW TASP may later be established if the patient is referred and seen in the context of a regular appointment with the UW Medicine Health Care Professional. 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17F55" w:rsidRDefault="00C17F55" w14:paraId="51DA9038" w14:textId="77777777"/>
    <w:sectPr w:rsidR="00C17F55" w:rsidSect="000D25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A2C6E1F"/>
    <w:multiLevelType w:val="hybridMultilevel"/>
    <w:tmpl w:val="07BAE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3"/>
    <w:rsid w:val="000D2523"/>
    <w:rsid w:val="003F6EE3"/>
    <w:rsid w:val="008A19A0"/>
    <w:rsid w:val="008E7D13"/>
    <w:rsid w:val="00C17F55"/>
    <w:rsid w:val="1BB71976"/>
    <w:rsid w:val="1E722E2C"/>
    <w:rsid w:val="3CBCB079"/>
    <w:rsid w:val="6320EDB7"/>
    <w:rsid w:val="6878DDD5"/>
    <w:rsid w:val="770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F870"/>
  <w14:defaultImageDpi w14:val="32767"/>
  <w15:chartTrackingRefBased/>
  <w15:docId w15:val="{65BEFA10-F127-8E4F-9480-963B5C3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F6EE3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F6E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F6EE3"/>
  </w:style>
  <w:style w:type="character" w:styleId="eop" w:customStyle="1">
    <w:name w:val="eop"/>
    <w:basedOn w:val="DefaultParagraphFont"/>
    <w:rsid w:val="003F6EE3"/>
  </w:style>
  <w:style w:type="character" w:styleId="spellingerror" w:customStyle="1">
    <w:name w:val="spellingerror"/>
    <w:basedOn w:val="DefaultParagraphFont"/>
    <w:rsid w:val="003F6EE3"/>
  </w:style>
  <w:style w:type="paragraph" w:styleId="ListParagraph">
    <w:name w:val="List Paragraph"/>
    <w:basedOn w:val="Normal"/>
    <w:uiPriority w:val="34"/>
    <w:qFormat/>
    <w:rsid w:val="008E7D1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hepatitisc.uw.edu/go/management-cirrhosis-related-complications/spontaneous-bacterial-peritonitis-recognition-management/core-concept/all" TargetMode="External" Id="Ra0af9568d83047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8" ma:contentTypeDescription="Create a new document." ma:contentTypeScope="" ma:versionID="fa1d8019fd395bfcff4171774d70db59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5510db0a5eaecb69b007a203e2ac5733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69634-8F4C-4C6D-B2BB-560EC81658AB}"/>
</file>

<file path=customXml/itemProps2.xml><?xml version="1.0" encoding="utf-8"?>
<ds:datastoreItem xmlns:ds="http://schemas.openxmlformats.org/officeDocument/2006/customXml" ds:itemID="{722B4E44-2477-447E-91FD-57645F981205}"/>
</file>

<file path=customXml/itemProps3.xml><?xml version="1.0" encoding="utf-8"?>
<ds:datastoreItem xmlns:ds="http://schemas.openxmlformats.org/officeDocument/2006/customXml" ds:itemID="{2AF5ACEE-AFF0-4258-8456-1100AE90DD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Martinez-Paz</dc:creator>
  <keywords/>
  <dc:description/>
  <lastModifiedBy>Chloe Bryson-Cahn</lastModifiedBy>
  <revision>8</revision>
  <dcterms:created xsi:type="dcterms:W3CDTF">2019-08-13T19:28:00.0000000Z</dcterms:created>
  <dcterms:modified xsi:type="dcterms:W3CDTF">2019-08-30T19:52:02.8550444Z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