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31AEA" w:rsidR="00EF5E7F" w:rsidP="6E73B6C9" w:rsidRDefault="00EF5E7F" w14:paraId="07CFE2A6" w14:textId="569F390E">
      <w:pPr>
        <w:pStyle w:val="Normal"/>
        <w:rPr>
          <w:rFonts w:ascii="Calibri" w:hAnsi="Calibri" w:eastAsia="ＭＳ ゴシック" w:cs="" w:asciiTheme="majorAscii" w:hAnsiTheme="majorAscii" w:eastAsiaTheme="majorEastAsia" w:cstheme="majorBidi"/>
          <w:b w:val="1"/>
          <w:bCs w:val="1"/>
          <w:color w:val="000000" w:themeColor="text1" w:themeTint="FF" w:themeShade="FF"/>
          <w:sz w:val="32"/>
          <w:szCs w:val="32"/>
        </w:rPr>
      </w:pPr>
      <w:r w:rsidRPr="6E73B6C9">
        <w:rPr>
          <w:rFonts w:ascii="Calibri" w:hAnsi="Calibri" w:eastAsia="ＭＳ ゴシック" w:cs="" w:asciiTheme="majorAscii" w:hAnsiTheme="majorAscii" w:eastAsiaTheme="majorEastAsia" w:cstheme="majorBidi"/>
          <w:b w:val="1"/>
          <w:bCs w:val="1"/>
          <w:sz w:val="32"/>
          <w:szCs w:val="32"/>
        </w:rPr>
        <w:t xml:space="preserve">Hospital: </w:t>
      </w:r>
      <w:r w:rsidRPr="6E73B6C9">
        <w:rPr>
          <w:rFonts w:ascii="Calibri" w:hAnsi="Calibri" w:eastAsia="ＭＳ ゴシック" w:cs="" w:asciiTheme="majorAscii" w:hAnsiTheme="majorAscii" w:eastAsiaTheme="majorEastAsia" w:cstheme="majorBidi"/>
          <w:b w:val="1"/>
          <w:bCs w:val="1"/>
          <w:sz w:val="32"/>
          <w:szCs w:val="32"/>
        </w:rPr>
        <w:t xml:space="preserve">Confluence Health </w:t>
      </w:r>
    </w:p>
    <w:p w:rsidRPr="00D31AEA" w:rsidR="00EF5E7F" w:rsidP="00EF5E7F" w:rsidRDefault="00EF5E7F" w14:paraId="4D36A2B1" w14:textId="44D77E5B">
      <w:pPr>
        <w:rPr>
          <w:rFonts w:asciiTheme="majorHAnsi" w:hAnsiTheme="majorHAnsi" w:eastAsiaTheme="majorEastAsia" w:cstheme="majorBidi"/>
          <w:b/>
          <w:bCs/>
          <w:color w:val="000000" w:themeColor="text1"/>
          <w:sz w:val="32"/>
          <w:szCs w:val="32"/>
        </w:rPr>
      </w:pPr>
      <w:r w:rsidRPr="00D31AEA">
        <w:rPr>
          <w:rFonts w:asciiTheme="majorHAnsi" w:hAnsiTheme="majorHAnsi" w:eastAsiaTheme="majorEastAsia" w:cstheme="majorBidi"/>
          <w:b/>
          <w:bCs/>
          <w:sz w:val="32"/>
          <w:szCs w:val="32"/>
        </w:rPr>
        <w:t xml:space="preserve">Presenter: </w:t>
      </w:r>
      <w:proofErr w:type="spellStart"/>
      <w:r>
        <w:rPr>
          <w:rFonts w:asciiTheme="majorHAnsi" w:hAnsiTheme="majorHAnsi" w:eastAsiaTheme="majorEastAsia" w:cstheme="majorBidi"/>
          <w:b/>
          <w:bCs/>
          <w:sz w:val="32"/>
          <w:szCs w:val="32"/>
        </w:rPr>
        <w:t>Khoa</w:t>
      </w:r>
      <w:proofErr w:type="spellEnd"/>
      <w:r>
        <w:rPr>
          <w:rFonts w:asciiTheme="majorHAnsi" w:hAnsiTheme="majorHAnsi" w:eastAsiaTheme="majorEastAsia" w:cstheme="majorBidi"/>
          <w:b/>
          <w:bCs/>
          <w:sz w:val="32"/>
          <w:szCs w:val="32"/>
        </w:rPr>
        <w:t xml:space="preserve"> </w:t>
      </w:r>
      <w:r w:rsidRPr="00EF5E7F">
        <w:rPr>
          <w:rFonts w:asciiTheme="majorHAnsi" w:hAnsiTheme="majorHAnsi" w:eastAsiaTheme="majorEastAsia" w:cstheme="majorBidi"/>
          <w:b/>
          <w:bCs/>
          <w:sz w:val="32"/>
          <w:szCs w:val="32"/>
        </w:rPr>
        <w:t>Nguyen</w:t>
      </w:r>
    </w:p>
    <w:p w:rsidR="00EF5E7F" w:rsidP="00EF5E7F" w:rsidRDefault="00EF5E7F" w14:paraId="440C3678" w14:textId="77777777">
      <w:pPr>
        <w:rPr>
          <w:rFonts w:asciiTheme="majorHAnsi" w:hAnsiTheme="majorHAnsi" w:eastAsiaTheme="majorEastAsia" w:cstheme="majorBidi"/>
          <w:color w:val="000000" w:themeColor="text1"/>
        </w:rPr>
      </w:pPr>
      <w:r>
        <w:rPr>
          <w:rFonts w:asciiTheme="majorHAnsi" w:hAnsiTheme="majorHAnsi" w:eastAsiaTheme="majorEastAsia" w:cstheme="majorBidi"/>
          <w:color w:val="000000" w:themeColor="text1"/>
        </w:rPr>
        <w:t xml:space="preserve">Question/case summary: </w:t>
      </w:r>
    </w:p>
    <w:p w:rsidR="00EF5E7F" w:rsidRDefault="00EF5E7F" w14:paraId="7DC19DCE" w14:textId="77777777">
      <w:pPr>
        <w:rPr>
          <w:rFonts w:asciiTheme="majorHAnsi" w:hAnsiTheme="majorHAnsi"/>
          <w:b/>
          <w:sz w:val="20"/>
          <w:szCs w:val="20"/>
        </w:rPr>
      </w:pPr>
    </w:p>
    <w:p w:rsidRPr="0071199B" w:rsidR="00B45E59" w:rsidRDefault="00B45E59" w14:paraId="47ECCC5C" w14:textId="77E09503">
      <w:pPr>
        <w:rPr>
          <w:rFonts w:asciiTheme="majorHAnsi" w:hAnsiTheme="majorHAnsi"/>
          <w:sz w:val="20"/>
          <w:szCs w:val="20"/>
        </w:rPr>
      </w:pPr>
      <w:r w:rsidRPr="0071199B">
        <w:rPr>
          <w:rFonts w:asciiTheme="majorHAnsi" w:hAnsiTheme="majorHAnsi"/>
          <w:b/>
          <w:sz w:val="20"/>
          <w:szCs w:val="20"/>
        </w:rPr>
        <w:t>Background</w:t>
      </w:r>
      <w:r w:rsidRPr="0071199B">
        <w:rPr>
          <w:rFonts w:asciiTheme="majorHAnsi" w:hAnsiTheme="majorHAnsi"/>
          <w:sz w:val="20"/>
          <w:szCs w:val="20"/>
        </w:rPr>
        <w:t>: IDSA recommen</w:t>
      </w:r>
      <w:r w:rsidR="00026ABF">
        <w:rPr>
          <w:rFonts w:asciiTheme="majorHAnsi" w:hAnsiTheme="majorHAnsi"/>
          <w:sz w:val="20"/>
          <w:szCs w:val="20"/>
        </w:rPr>
        <w:t xml:space="preserve">ds empiric broad spectrum </w:t>
      </w:r>
      <w:proofErr w:type="spellStart"/>
      <w:r w:rsidR="00026ABF">
        <w:rPr>
          <w:rFonts w:asciiTheme="majorHAnsi" w:hAnsiTheme="majorHAnsi"/>
          <w:sz w:val="20"/>
          <w:szCs w:val="20"/>
        </w:rPr>
        <w:t>abx</w:t>
      </w:r>
      <w:proofErr w:type="spellEnd"/>
      <w:r w:rsidR="00026ABF">
        <w:rPr>
          <w:rFonts w:asciiTheme="majorHAnsi" w:hAnsiTheme="majorHAnsi"/>
          <w:sz w:val="20"/>
          <w:szCs w:val="20"/>
        </w:rPr>
        <w:t xml:space="preserve"> with</w:t>
      </w:r>
      <w:r w:rsidRPr="0071199B">
        <w:rPr>
          <w:rFonts w:asciiTheme="majorHAnsi" w:hAnsiTheme="majorHAnsi"/>
          <w:sz w:val="20"/>
          <w:szCs w:val="20"/>
        </w:rPr>
        <w:t xml:space="preserve"> vancomycin + (carbapenem, pip-</w:t>
      </w:r>
      <w:proofErr w:type="spellStart"/>
      <w:r w:rsidRPr="0071199B">
        <w:rPr>
          <w:rFonts w:asciiTheme="majorHAnsi" w:hAnsiTheme="majorHAnsi"/>
          <w:sz w:val="20"/>
          <w:szCs w:val="20"/>
        </w:rPr>
        <w:t>taz</w:t>
      </w:r>
      <w:proofErr w:type="spellEnd"/>
      <w:r w:rsidRPr="0071199B">
        <w:rPr>
          <w:rFonts w:asciiTheme="majorHAnsi" w:hAnsiTheme="majorHAnsi"/>
          <w:sz w:val="20"/>
          <w:szCs w:val="20"/>
        </w:rPr>
        <w:t xml:space="preserve">, or </w:t>
      </w:r>
      <w:proofErr w:type="spellStart"/>
      <w:r w:rsidRPr="0071199B">
        <w:rPr>
          <w:rFonts w:asciiTheme="majorHAnsi" w:hAnsiTheme="majorHAnsi"/>
          <w:sz w:val="20"/>
          <w:szCs w:val="20"/>
        </w:rPr>
        <w:t>ceftriaxone+metronidazole</w:t>
      </w:r>
      <w:proofErr w:type="spellEnd"/>
      <w:r w:rsidRPr="0071199B">
        <w:rPr>
          <w:rFonts w:asciiTheme="majorHAnsi" w:hAnsiTheme="majorHAnsi"/>
          <w:sz w:val="20"/>
          <w:szCs w:val="20"/>
        </w:rPr>
        <w:t>) for necrotizing fasciitis regardless of type (</w:t>
      </w:r>
      <w:proofErr w:type="spellStart"/>
      <w:r w:rsidRPr="0071199B">
        <w:rPr>
          <w:rFonts w:asciiTheme="majorHAnsi" w:hAnsiTheme="majorHAnsi"/>
          <w:sz w:val="20"/>
          <w:szCs w:val="20"/>
        </w:rPr>
        <w:t>eg.</w:t>
      </w:r>
      <w:proofErr w:type="spellEnd"/>
      <w:r w:rsidRPr="0071199B">
        <w:rPr>
          <w:rFonts w:asciiTheme="majorHAnsi" w:hAnsiTheme="majorHAnsi"/>
          <w:sz w:val="20"/>
          <w:szCs w:val="20"/>
        </w:rPr>
        <w:t xml:space="preserve"> type </w:t>
      </w:r>
      <w:proofErr w:type="gramStart"/>
      <w:r w:rsidRPr="0071199B">
        <w:rPr>
          <w:rFonts w:asciiTheme="majorHAnsi" w:hAnsiTheme="majorHAnsi"/>
          <w:sz w:val="20"/>
          <w:szCs w:val="20"/>
        </w:rPr>
        <w:t>I,II</w:t>
      </w:r>
      <w:proofErr w:type="gramEnd"/>
      <w:r w:rsidRPr="0071199B">
        <w:rPr>
          <w:rFonts w:asciiTheme="majorHAnsi" w:hAnsiTheme="majorHAnsi"/>
          <w:sz w:val="20"/>
          <w:szCs w:val="20"/>
        </w:rPr>
        <w:t>, III, etc.), BUT only seems to recommend clindamycin when it’s group A strep (toxin and for the eagle effect we talked about last week)</w:t>
      </w:r>
    </w:p>
    <w:p w:rsidRPr="0071199B" w:rsidR="00B45E59" w:rsidRDefault="00B45E59" w14:paraId="6268B4EB" w14:textId="77777777">
      <w:pPr>
        <w:rPr>
          <w:rFonts w:asciiTheme="majorHAnsi" w:hAnsiTheme="majorHAnsi"/>
          <w:sz w:val="20"/>
          <w:szCs w:val="20"/>
        </w:rPr>
      </w:pPr>
    </w:p>
    <w:p w:rsidRPr="0071199B" w:rsidR="001F21AE" w:rsidRDefault="00026ABF" w14:paraId="720444F1" w14:textId="313C9EED">
      <w:pPr>
        <w:rPr>
          <w:rFonts w:asciiTheme="majorHAnsi" w:hAnsiTheme="majorHAnsi"/>
          <w:sz w:val="20"/>
          <w:szCs w:val="20"/>
        </w:rPr>
      </w:pPr>
      <w:r>
        <w:rPr>
          <w:rFonts w:asciiTheme="majorHAnsi" w:hAnsiTheme="majorHAnsi"/>
          <w:sz w:val="20"/>
          <w:szCs w:val="20"/>
        </w:rPr>
        <w:t xml:space="preserve">Normally </w:t>
      </w:r>
      <w:r w:rsidRPr="0071199B" w:rsidR="00500B25">
        <w:rPr>
          <w:rFonts w:asciiTheme="majorHAnsi" w:hAnsiTheme="majorHAnsi"/>
          <w:sz w:val="20"/>
          <w:szCs w:val="20"/>
        </w:rPr>
        <w:t>when a patie</w:t>
      </w:r>
      <w:r>
        <w:rPr>
          <w:rFonts w:asciiTheme="majorHAnsi" w:hAnsiTheme="majorHAnsi"/>
          <w:sz w:val="20"/>
          <w:szCs w:val="20"/>
        </w:rPr>
        <w:t>nt presents with what appears to</w:t>
      </w:r>
      <w:r w:rsidRPr="0071199B" w:rsidR="00500B25">
        <w:rPr>
          <w:rFonts w:asciiTheme="majorHAnsi" w:hAnsiTheme="majorHAnsi"/>
          <w:sz w:val="20"/>
          <w:szCs w:val="20"/>
        </w:rPr>
        <w:t xml:space="preserve"> necrotizing fasciitis, broad spectrum antibiotics are initiated </w:t>
      </w:r>
      <w:r>
        <w:rPr>
          <w:rFonts w:asciiTheme="majorHAnsi" w:hAnsiTheme="majorHAnsi"/>
          <w:sz w:val="20"/>
          <w:szCs w:val="20"/>
        </w:rPr>
        <w:t xml:space="preserve">here </w:t>
      </w:r>
      <w:r w:rsidRPr="0071199B" w:rsidR="00500B25">
        <w:rPr>
          <w:rFonts w:asciiTheme="majorHAnsi" w:hAnsiTheme="majorHAnsi"/>
          <w:sz w:val="20"/>
          <w:szCs w:val="20"/>
        </w:rPr>
        <w:t>mostly of vancomycin + (carbapenem, pip-</w:t>
      </w:r>
      <w:proofErr w:type="spellStart"/>
      <w:r w:rsidRPr="0071199B" w:rsidR="00500B25">
        <w:rPr>
          <w:rFonts w:asciiTheme="majorHAnsi" w:hAnsiTheme="majorHAnsi"/>
          <w:sz w:val="20"/>
          <w:szCs w:val="20"/>
        </w:rPr>
        <w:t>taz</w:t>
      </w:r>
      <w:proofErr w:type="spellEnd"/>
      <w:r w:rsidRPr="0071199B" w:rsidR="00500B25">
        <w:rPr>
          <w:rFonts w:asciiTheme="majorHAnsi" w:hAnsiTheme="majorHAnsi"/>
          <w:sz w:val="20"/>
          <w:szCs w:val="20"/>
        </w:rPr>
        <w:t>,</w:t>
      </w:r>
      <w:r w:rsidRPr="0071199B" w:rsidR="00B45E59">
        <w:rPr>
          <w:rFonts w:asciiTheme="majorHAnsi" w:hAnsiTheme="majorHAnsi"/>
          <w:sz w:val="20"/>
          <w:szCs w:val="20"/>
        </w:rPr>
        <w:t xml:space="preserve"> or </w:t>
      </w:r>
      <w:proofErr w:type="spellStart"/>
      <w:r w:rsidRPr="0071199B" w:rsidR="00B45E59">
        <w:rPr>
          <w:rFonts w:asciiTheme="majorHAnsi" w:hAnsiTheme="majorHAnsi"/>
          <w:sz w:val="20"/>
          <w:szCs w:val="20"/>
        </w:rPr>
        <w:t>ceftriaxone+metronidazole</w:t>
      </w:r>
      <w:proofErr w:type="spellEnd"/>
      <w:r w:rsidRPr="0071199B" w:rsidR="00B45E59">
        <w:rPr>
          <w:rFonts w:asciiTheme="majorHAnsi" w:hAnsiTheme="majorHAnsi"/>
          <w:sz w:val="20"/>
          <w:szCs w:val="20"/>
        </w:rPr>
        <w:t>) AND</w:t>
      </w:r>
      <w:r w:rsidRPr="0071199B" w:rsidR="00500B25">
        <w:rPr>
          <w:rFonts w:asciiTheme="majorHAnsi" w:hAnsiTheme="majorHAnsi"/>
          <w:sz w:val="20"/>
          <w:szCs w:val="20"/>
        </w:rPr>
        <w:t xml:space="preserve"> clindamycin</w:t>
      </w:r>
    </w:p>
    <w:p w:rsidRPr="0071199B" w:rsidR="001F21AE" w:rsidRDefault="001F21AE" w14:paraId="45FDEDDA" w14:textId="77777777">
      <w:pPr>
        <w:rPr>
          <w:rFonts w:asciiTheme="majorHAnsi" w:hAnsiTheme="majorHAnsi"/>
          <w:sz w:val="20"/>
          <w:szCs w:val="20"/>
        </w:rPr>
      </w:pPr>
    </w:p>
    <w:p w:rsidRPr="0071199B" w:rsidR="00B45E59" w:rsidRDefault="001F21AE" w14:paraId="4EC5AEED" w14:textId="54C3AE45">
      <w:pPr>
        <w:rPr>
          <w:rFonts w:asciiTheme="majorHAnsi" w:hAnsiTheme="majorHAnsi"/>
          <w:sz w:val="20"/>
          <w:szCs w:val="20"/>
        </w:rPr>
      </w:pPr>
      <w:r w:rsidRPr="0071199B">
        <w:rPr>
          <w:rFonts w:asciiTheme="majorHAnsi" w:hAnsiTheme="majorHAnsi"/>
          <w:sz w:val="20"/>
          <w:szCs w:val="20"/>
        </w:rPr>
        <w:t>In a 2017 NEMJ</w:t>
      </w:r>
      <w:r w:rsidRPr="0071199B" w:rsidR="00B45E59">
        <w:rPr>
          <w:rFonts w:asciiTheme="majorHAnsi" w:hAnsiTheme="majorHAnsi"/>
          <w:sz w:val="20"/>
          <w:szCs w:val="20"/>
        </w:rPr>
        <w:t xml:space="preserve"> by Stevens, this flowchart shows the different breakdown of the types of </w:t>
      </w:r>
      <w:proofErr w:type="spellStart"/>
      <w:r w:rsidRPr="0071199B" w:rsidR="00B45E59">
        <w:rPr>
          <w:rFonts w:asciiTheme="majorHAnsi" w:hAnsiTheme="majorHAnsi"/>
          <w:sz w:val="20"/>
          <w:szCs w:val="20"/>
        </w:rPr>
        <w:t>nec</w:t>
      </w:r>
      <w:proofErr w:type="spellEnd"/>
      <w:r w:rsidRPr="0071199B" w:rsidR="00B45E59">
        <w:rPr>
          <w:rFonts w:asciiTheme="majorHAnsi" w:hAnsiTheme="majorHAnsi"/>
          <w:sz w:val="20"/>
          <w:szCs w:val="20"/>
        </w:rPr>
        <w:t xml:space="preserve"> fasc. </w:t>
      </w:r>
    </w:p>
    <w:p w:rsidRPr="0071199B" w:rsidR="00500B25" w:rsidRDefault="001F21AE" w14:paraId="6CB80878" w14:textId="2210CB0A">
      <w:pPr>
        <w:rPr>
          <w:rFonts w:asciiTheme="majorHAnsi" w:hAnsiTheme="majorHAnsi"/>
          <w:sz w:val="20"/>
          <w:szCs w:val="20"/>
        </w:rPr>
      </w:pPr>
      <w:r w:rsidRPr="0071199B">
        <w:rPr>
          <w:rFonts w:asciiTheme="majorHAnsi" w:hAnsiTheme="majorHAnsi"/>
          <w:noProof/>
          <w:sz w:val="20"/>
          <w:szCs w:val="20"/>
        </w:rPr>
        <w:drawing>
          <wp:inline distT="0" distB="0" distL="0" distR="0" wp14:anchorId="794A0057" wp14:editId="625F84CF">
            <wp:extent cx="5652135" cy="3989707"/>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24 at 7.48.38 PM.png"/>
                    <pic:cNvPicPr/>
                  </pic:nvPicPr>
                  <pic:blipFill>
                    <a:blip r:embed="rId6">
                      <a:extLst>
                        <a:ext uri="{28A0092B-C50C-407E-A947-70E740481C1C}">
                          <a14:useLocalDpi xmlns:a14="http://schemas.microsoft.com/office/drawing/2010/main" val="0"/>
                        </a:ext>
                      </a:extLst>
                    </a:blip>
                    <a:stretch>
                      <a:fillRect/>
                    </a:stretch>
                  </pic:blipFill>
                  <pic:spPr>
                    <a:xfrm>
                      <a:off x="0" y="0"/>
                      <a:ext cx="5652990" cy="3990311"/>
                    </a:xfrm>
                    <a:prstGeom prst="rect">
                      <a:avLst/>
                    </a:prstGeom>
                  </pic:spPr>
                </pic:pic>
              </a:graphicData>
            </a:graphic>
          </wp:inline>
        </w:drawing>
      </w:r>
    </w:p>
    <w:p w:rsidRPr="0071199B" w:rsidR="00B45E59" w:rsidRDefault="00B45E59" w14:paraId="3D81C52D" w14:textId="77777777">
      <w:pPr>
        <w:rPr>
          <w:rFonts w:asciiTheme="majorHAnsi" w:hAnsiTheme="majorHAnsi"/>
          <w:sz w:val="20"/>
          <w:szCs w:val="20"/>
        </w:rPr>
      </w:pPr>
    </w:p>
    <w:p w:rsidR="77D112B6" w:rsidP="77D112B6" w:rsidRDefault="77D112B6" w14:paraId="7292E0C3" w14:textId="0801E42B">
      <w:pPr>
        <w:pStyle w:val="Normal"/>
        <w:rPr>
          <w:rFonts w:ascii="Calibri" w:hAnsi="Calibri" w:asciiTheme="majorAscii" w:hAnsiTheme="majorAscii"/>
          <w:sz w:val="20"/>
          <w:szCs w:val="20"/>
        </w:rPr>
      </w:pPr>
      <w:r w:rsidRPr="77D112B6" w:rsidR="77D112B6">
        <w:rPr>
          <w:rFonts w:ascii="Calibri" w:hAnsi="Calibri" w:asciiTheme="majorAscii" w:hAnsiTheme="majorAscii"/>
          <w:sz w:val="20"/>
          <w:szCs w:val="20"/>
        </w:rPr>
        <w:t xml:space="preserve">While not directly stated in the guidelines, it makes total sense to empirically give it along with the </w:t>
      </w:r>
      <w:proofErr w:type="spellStart"/>
      <w:r w:rsidRPr="77D112B6" w:rsidR="77D112B6">
        <w:rPr>
          <w:rFonts w:ascii="Calibri" w:hAnsi="Calibri" w:asciiTheme="majorAscii" w:hAnsiTheme="majorAscii"/>
          <w:sz w:val="20"/>
          <w:szCs w:val="20"/>
        </w:rPr>
        <w:t>vanco</w:t>
      </w:r>
      <w:proofErr w:type="spellEnd"/>
      <w:r w:rsidRPr="77D112B6" w:rsidR="77D112B6">
        <w:rPr>
          <w:rFonts w:ascii="Calibri" w:hAnsi="Calibri" w:asciiTheme="majorAscii" w:hAnsiTheme="majorAscii"/>
          <w:sz w:val="20"/>
          <w:szCs w:val="20"/>
        </w:rPr>
        <w:t xml:space="preserve"> +broad-spec B-lactam given the urgency of </w:t>
      </w:r>
      <w:proofErr w:type="spellStart"/>
      <w:r w:rsidRPr="77D112B6" w:rsidR="77D112B6">
        <w:rPr>
          <w:rFonts w:ascii="Calibri" w:hAnsi="Calibri" w:asciiTheme="majorAscii" w:hAnsiTheme="majorAscii"/>
          <w:sz w:val="20"/>
          <w:szCs w:val="20"/>
        </w:rPr>
        <w:t>nec</w:t>
      </w:r>
      <w:proofErr w:type="spellEnd"/>
      <w:r w:rsidRPr="77D112B6" w:rsidR="77D112B6">
        <w:rPr>
          <w:rFonts w:ascii="Calibri" w:hAnsi="Calibri" w:asciiTheme="majorAscii" w:hAnsiTheme="majorAscii"/>
          <w:sz w:val="20"/>
          <w:szCs w:val="20"/>
        </w:rPr>
        <w:t xml:space="preserve"> </w:t>
      </w:r>
      <w:proofErr w:type="spellStart"/>
      <w:r w:rsidRPr="77D112B6" w:rsidR="77D112B6">
        <w:rPr>
          <w:rFonts w:ascii="Calibri" w:hAnsi="Calibri" w:asciiTheme="majorAscii" w:hAnsiTheme="majorAscii"/>
          <w:sz w:val="20"/>
          <w:szCs w:val="20"/>
        </w:rPr>
        <w:t>fas</w:t>
      </w:r>
      <w:proofErr w:type="spellEnd"/>
      <w:r w:rsidRPr="77D112B6" w:rsidR="77D112B6">
        <w:rPr>
          <w:rFonts w:ascii="Calibri" w:hAnsi="Calibri" w:asciiTheme="majorAscii" w:hAnsiTheme="majorAscii"/>
          <w:sz w:val="20"/>
          <w:szCs w:val="20"/>
        </w:rPr>
        <w:t>, especially since clindamycin has been shown to improve outcomes if it is GAS.</w:t>
      </w:r>
      <w:r w:rsidRPr="77D112B6" w:rsidR="77D112B6">
        <w:rPr>
          <w:rFonts w:ascii="Calibri" w:hAnsi="Calibri" w:asciiTheme="majorAscii" w:hAnsiTheme="majorAscii"/>
          <w:noProof/>
          <w:sz w:val="20"/>
          <w:szCs w:val="20"/>
        </w:rPr>
        <w:t xml:space="preserve"> </w:t>
      </w:r>
      <w:r w:rsidRPr="77D112B6" w:rsidR="77D112B6">
        <w:rPr>
          <w:rFonts w:ascii="Calibri" w:hAnsi="Calibri" w:asciiTheme="majorAscii" w:hAnsiTheme="majorAscii"/>
          <w:b w:val="1"/>
          <w:bCs w:val="1"/>
          <w:sz w:val="20"/>
          <w:szCs w:val="20"/>
        </w:rPr>
        <w:t>Bottom line</w:t>
      </w:r>
      <w:r w:rsidRPr="77D112B6" w:rsidR="77D112B6">
        <w:rPr>
          <w:rFonts w:ascii="Calibri" w:hAnsi="Calibri" w:asciiTheme="majorAscii" w:hAnsiTheme="majorAscii"/>
          <w:sz w:val="20"/>
          <w:szCs w:val="20"/>
        </w:rPr>
        <w:t>: After staring vanco and a broad-spec b-lactam, should clindamycin empirically be initiated in all nec fasc cases then de-escalated later, or is it safe to wait for the radiographic finding and gram stain to see if staph and strep are likely present?</w:t>
      </w:r>
    </w:p>
    <w:p w:rsidR="77D112B6" w:rsidP="77D112B6" w:rsidRDefault="77D112B6" w14:paraId="6F4F1E19" w14:textId="47F666F6">
      <w:pPr>
        <w:pStyle w:val="Normal"/>
        <w:rPr>
          <w:rFonts w:ascii="Calibri" w:hAnsi="Calibri" w:asciiTheme="majorAscii" w:hAnsiTheme="majorAscii"/>
          <w:noProof/>
          <w:sz w:val="20"/>
          <w:szCs w:val="20"/>
        </w:rPr>
      </w:pPr>
    </w:p>
    <w:p w:rsidRPr="0071199B" w:rsidR="00B45E59" w:rsidP="0E6C11A6" w:rsidRDefault="00EF5E7F" w14:paraId="36761302" w14:textId="31BDC5AC">
      <w:pPr>
        <w:rPr>
          <w:rFonts w:ascii="Calibri" w:hAnsi="Calibri" w:asciiTheme="majorAscii" w:hAnsiTheme="majorAscii"/>
          <w:sz w:val="20"/>
          <w:szCs w:val="20"/>
        </w:rPr>
      </w:pPr>
      <w:r w:rsidRPr="0071199B">
        <w:rPr>
          <w:rFonts w:asciiTheme="majorHAnsi" w:hAnsiTheme="majorHAnsi"/>
          <w:noProof/>
          <w:sz w:val="20"/>
          <w:szCs w:val="20"/>
        </w:rPr>
        <w:drawing>
          <wp:anchor distT="0" distB="0" distL="114300" distR="114300" simplePos="0" relativeHeight="251660288" behindDoc="0" locked="0" layoutInCell="1" allowOverlap="1" wp14:anchorId="56854682" wp14:editId="22CC9AA9">
            <wp:simplePos x="0" y="0"/>
            <wp:positionH relativeFrom="margin">
              <wp:posOffset>0</wp:posOffset>
            </wp:positionH>
            <wp:positionV relativeFrom="margin">
              <wp:posOffset>7063105</wp:posOffset>
            </wp:positionV>
            <wp:extent cx="4911184" cy="1533882"/>
            <wp:wrapSquare wrapText="bothSides"/>
            <wp:effectExtent l="0" t="0" r="635" b="5715"/>
            <wp:docPr id="3" name="Pictur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6-23 at 11.29.47 AM.png"/>
                    <pic:cNvPicPr/>
                  </pic:nvPicPr>
                  <pic:blipFill>
                    <a:blip r:embed="rI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11184" cy="1533882"/>
                    </a:xfrm>
                    <a:prstGeom prst="rect">
                      <a:avLst/>
                    </a:prstGeom>
                  </pic:spPr>
                </pic:pic>
              </a:graphicData>
            </a:graphic>
          </wp:anchor>
        </w:drawing>
      </w:r>
      <w:r w:rsidRPr="0E6C11A6" w:rsidR="0E6C11A6">
        <w:rPr>
          <w:rFonts w:ascii="Calibri" w:hAnsi="Calibri" w:asciiTheme="majorAscii" w:hAnsiTheme="majorAscii"/>
          <w:sz w:val="20"/>
          <w:szCs w:val="20"/>
        </w:rPr>
        <w:t/>
      </w:r>
    </w:p>
    <w:p w:rsidRPr="0071199B" w:rsidR="001F21AE" w:rsidRDefault="001F21AE" w14:paraId="03BFEC35" w14:textId="77777777">
      <w:pPr>
        <w:rPr>
          <w:rFonts w:asciiTheme="majorHAnsi" w:hAnsiTheme="majorHAnsi"/>
          <w:b/>
          <w:sz w:val="20"/>
          <w:szCs w:val="20"/>
        </w:rPr>
      </w:pPr>
    </w:p>
    <w:p w:rsidR="00EF5E7F" w:rsidRDefault="00EF5E7F" w14:paraId="52AEE43C" w14:textId="77777777">
      <w:pPr>
        <w:rPr>
          <w:rFonts w:asciiTheme="majorHAnsi" w:hAnsiTheme="majorHAnsi"/>
          <w:b/>
          <w:sz w:val="20"/>
          <w:szCs w:val="20"/>
        </w:rPr>
      </w:pPr>
    </w:p>
    <w:p w:rsidR="00EF5E7F" w:rsidRDefault="00EF5E7F" w14:paraId="57ABA67A" w14:textId="77777777">
      <w:pPr>
        <w:rPr>
          <w:rFonts w:asciiTheme="majorHAnsi" w:hAnsiTheme="majorHAnsi"/>
          <w:b/>
          <w:sz w:val="20"/>
          <w:szCs w:val="20"/>
        </w:rPr>
      </w:pPr>
    </w:p>
    <w:p w:rsidR="00EF5E7F" w:rsidRDefault="00EF5E7F" w14:paraId="00E3A27D" w14:textId="77777777">
      <w:pPr>
        <w:rPr>
          <w:rFonts w:asciiTheme="majorHAnsi" w:hAnsiTheme="majorHAnsi"/>
          <w:b/>
          <w:sz w:val="20"/>
          <w:szCs w:val="20"/>
        </w:rPr>
      </w:pPr>
    </w:p>
    <w:p w:rsidR="00EF5E7F" w:rsidRDefault="00EF5E7F" w14:paraId="3F5EBCD8" w14:textId="77777777">
      <w:pPr>
        <w:rPr>
          <w:rFonts w:asciiTheme="majorHAnsi" w:hAnsiTheme="majorHAnsi"/>
          <w:b/>
          <w:sz w:val="20"/>
          <w:szCs w:val="20"/>
        </w:rPr>
      </w:pPr>
    </w:p>
    <w:p w:rsidR="00EF5E7F" w:rsidRDefault="00EF5E7F" w14:paraId="283CEE47" w14:textId="77777777">
      <w:pPr>
        <w:rPr>
          <w:rFonts w:asciiTheme="majorHAnsi" w:hAnsiTheme="majorHAnsi"/>
          <w:b/>
          <w:sz w:val="20"/>
          <w:szCs w:val="20"/>
        </w:rPr>
      </w:pPr>
    </w:p>
    <w:p w:rsidR="00EF5E7F" w:rsidRDefault="00EF5E7F" w14:paraId="10A3AF3F" w14:textId="77777777">
      <w:pPr>
        <w:rPr>
          <w:rFonts w:asciiTheme="majorHAnsi" w:hAnsiTheme="majorHAnsi"/>
          <w:b/>
          <w:sz w:val="20"/>
          <w:szCs w:val="20"/>
        </w:rPr>
      </w:pPr>
    </w:p>
    <w:p w:rsidR="00EF5E7F" w:rsidRDefault="00EF5E7F" w14:paraId="50120ECB" w14:textId="5FCE706A">
      <w:pPr>
        <w:rPr>
          <w:rFonts w:asciiTheme="majorHAnsi" w:hAnsiTheme="majorHAnsi"/>
          <w:sz w:val="20"/>
          <w:szCs w:val="20"/>
        </w:rPr>
      </w:pPr>
    </w:p>
    <w:p w:rsidR="00EF5E7F" w:rsidP="77D112B6" w:rsidRDefault="00EF5E7F" w14:paraId="6BD93140" w14:textId="77777777">
      <w:pPr>
        <w:rPr>
          <w:rFonts w:ascii="Calibri" w:hAnsi="Calibri" w:eastAsia="ＭＳ ゴシック" w:cs="" w:asciiTheme="majorAscii" w:hAnsiTheme="majorAscii" w:eastAsiaTheme="majorEastAsia" w:cstheme="majorBidi"/>
          <w:b w:val="1"/>
          <w:bCs w:val="1"/>
          <w:color w:val="000000" w:themeColor="text1" w:themeTint="FF" w:themeShade="FF"/>
        </w:rPr>
      </w:pPr>
      <w:r w:rsidRPr="77D112B6" w:rsidR="77D112B6">
        <w:rPr>
          <w:rFonts w:ascii="Calibri" w:hAnsi="Calibri" w:eastAsia="ＭＳ ゴシック" w:cs="" w:asciiTheme="majorAscii" w:hAnsiTheme="majorAscii" w:eastAsiaTheme="majorEastAsia" w:cstheme="majorBidi"/>
          <w:b w:val="1"/>
          <w:bCs w:val="1"/>
          <w:color w:val="000000" w:themeColor="text1" w:themeTint="FF" w:themeShade="FF"/>
        </w:rPr>
        <w:t>UW TASP Recommendations</w:t>
      </w:r>
      <w:r w:rsidRPr="77D112B6" w:rsidR="77D112B6">
        <w:rPr>
          <w:rFonts w:ascii="Calibri" w:hAnsi="Calibri" w:eastAsia="ＭＳ ゴシック" w:cs="" w:asciiTheme="majorAscii" w:hAnsiTheme="majorAscii" w:eastAsiaTheme="majorEastAsia" w:cstheme="majorBidi"/>
          <w:b w:val="1"/>
          <w:bCs w:val="1"/>
          <w:color w:val="000000" w:themeColor="text1" w:themeTint="FF" w:themeShade="FF"/>
        </w:rPr>
        <w:t xml:space="preserve">: </w:t>
      </w:r>
      <w:bookmarkStart w:name="_GoBack" w:id="0"/>
      <w:bookmarkEnd w:id="0"/>
    </w:p>
    <w:p w:rsidR="77D112B6" w:rsidP="77D112B6" w:rsidRDefault="77D112B6" w14:paraId="55F3B664" w14:textId="41C785F7">
      <w:pPr>
        <w:pStyle w:val="Normal"/>
        <w:spacing w:after="160" w:line="259" w:lineRule="auto"/>
        <w:rPr>
          <w:rFonts w:ascii="Calibri" w:hAnsi="Calibri" w:eastAsia="Calibri" w:cs="Calibri"/>
          <w:b w:val="0"/>
          <w:bCs w:val="0"/>
          <w:i w:val="0"/>
          <w:iCs w:val="0"/>
          <w:noProof w:val="0"/>
          <w:sz w:val="24"/>
          <w:szCs w:val="24"/>
          <w:lang w:val="en-US"/>
        </w:rPr>
      </w:pPr>
    </w:p>
    <w:p w:rsidR="77D112B6" w:rsidP="6C3926E7" w:rsidRDefault="77D112B6" w14:paraId="57AAD255" w14:textId="7254FCE1">
      <w:pPr>
        <w:pStyle w:val="Normal"/>
        <w:spacing w:after="160" w:line="259" w:lineRule="auto"/>
        <w:rPr>
          <w:rFonts w:ascii="Calibri" w:hAnsi="Calibri" w:eastAsia="Calibri" w:cs="Calibri"/>
          <w:b w:val="0"/>
          <w:bCs w:val="0"/>
          <w:i w:val="0"/>
          <w:iCs w:val="0"/>
          <w:noProof w:val="0"/>
          <w:sz w:val="24"/>
          <w:szCs w:val="24"/>
          <w:lang w:val="en-US"/>
        </w:rPr>
      </w:pPr>
      <w:r w:rsidRPr="6C3926E7" w:rsidR="6C3926E7">
        <w:rPr>
          <w:rFonts w:ascii="Calibri" w:hAnsi="Calibri" w:eastAsia="Calibri" w:cs="Calibri"/>
          <w:b w:val="0"/>
          <w:bCs w:val="0"/>
          <w:i w:val="0"/>
          <w:iCs w:val="0"/>
          <w:noProof w:val="0"/>
          <w:sz w:val="24"/>
          <w:szCs w:val="24"/>
          <w:lang w:val="en-US"/>
        </w:rPr>
        <w:t xml:space="preserve">If there is clinical suspicion for necrotizing soft tissue infection (NSTI), clindamycin should be part of the empiric antimicrobial regimen.  As the mortality rate is notoriously high with these invasive infections, surgical debridement is paramount in addition to optimization of empiric antibiotics to cover all potential pathogens.   </w:t>
      </w:r>
    </w:p>
    <w:p w:rsidR="77D112B6" w:rsidP="6C3926E7" w:rsidRDefault="77D112B6" w14:paraId="1C52EAE3" w14:textId="29A09EE8">
      <w:pPr>
        <w:pStyle w:val="Normal"/>
        <w:spacing w:after="160" w:line="259" w:lineRule="auto"/>
        <w:rPr>
          <w:rFonts w:ascii="Calibri" w:hAnsi="Calibri" w:eastAsia="Calibri" w:cs="Calibri"/>
          <w:b w:val="0"/>
          <w:bCs w:val="0"/>
          <w:i w:val="0"/>
          <w:iCs w:val="0"/>
          <w:noProof w:val="0"/>
          <w:sz w:val="24"/>
          <w:szCs w:val="24"/>
          <w:lang w:val="en-US"/>
        </w:rPr>
      </w:pPr>
      <w:r w:rsidRPr="6C3926E7" w:rsidR="6C3926E7">
        <w:rPr>
          <w:rFonts w:ascii="Calibri" w:hAnsi="Calibri" w:eastAsia="Calibri" w:cs="Calibri"/>
          <w:b w:val="0"/>
          <w:bCs w:val="0"/>
          <w:i w:val="0"/>
          <w:iCs w:val="0"/>
          <w:noProof w:val="0"/>
          <w:sz w:val="24"/>
          <w:szCs w:val="24"/>
          <w:lang w:val="en-US"/>
        </w:rPr>
        <w:t xml:space="preserve">Even when there is radiographic evidence of gas in the tissue, it is often difficult to distinguish between clostridial necrosis vs. Type-1 NSTI which tends to be polymicrobial with both aerobes and anaerobes.   </w:t>
      </w:r>
    </w:p>
    <w:p w:rsidR="77D112B6" w:rsidP="6C3926E7" w:rsidRDefault="77D112B6" w14:paraId="12D6D7AF" w14:textId="1C663410">
      <w:pPr>
        <w:pStyle w:val="Normal"/>
        <w:spacing w:after="160" w:line="259" w:lineRule="auto"/>
        <w:rPr>
          <w:rFonts w:ascii="Calibri" w:hAnsi="Calibri" w:eastAsia="Calibri" w:cs="Calibri"/>
          <w:b w:val="0"/>
          <w:bCs w:val="0"/>
          <w:i w:val="0"/>
          <w:iCs w:val="0"/>
          <w:noProof w:val="0"/>
          <w:sz w:val="24"/>
          <w:szCs w:val="24"/>
          <w:lang w:val="en-US"/>
        </w:rPr>
      </w:pPr>
      <w:r w:rsidRPr="6C3926E7" w:rsidR="6C3926E7">
        <w:rPr>
          <w:rFonts w:ascii="Calibri" w:hAnsi="Calibri" w:eastAsia="Calibri" w:cs="Calibri"/>
          <w:b w:val="0"/>
          <w:bCs w:val="0"/>
          <w:i w:val="0"/>
          <w:iCs w:val="0"/>
          <w:noProof w:val="0"/>
          <w:sz w:val="24"/>
          <w:szCs w:val="24"/>
          <w:lang w:val="en-US"/>
        </w:rPr>
        <w:t xml:space="preserve">Penicillin and clindamycin in combination are recommended for necrotizing fasciitis due to group A strep (GAS) and clostridial gas gangrene or myonecrosis [1].   Although Group A strep is universally susceptible to penicillin, these deep infections involve the fascial and/or muscle compartments and can potentially lead to life threatening toxic shock syndrome as a complication from invasive group A strep. </w:t>
      </w:r>
    </w:p>
    <w:p w:rsidR="77D112B6" w:rsidP="6C3926E7" w:rsidRDefault="77D112B6" w14:paraId="293D76C1" w14:textId="4052D33C">
      <w:pPr>
        <w:pStyle w:val="Normal"/>
        <w:spacing w:after="160" w:line="259" w:lineRule="auto"/>
        <w:rPr>
          <w:rFonts w:ascii="Calibri" w:hAnsi="Calibri" w:eastAsia="Calibri" w:cs="Calibri"/>
          <w:b w:val="0"/>
          <w:bCs w:val="0"/>
          <w:i w:val="0"/>
          <w:iCs w:val="0"/>
          <w:noProof w:val="0"/>
          <w:sz w:val="24"/>
          <w:szCs w:val="24"/>
          <w:lang w:val="en-US"/>
        </w:rPr>
      </w:pPr>
      <w:r w:rsidRPr="6C3926E7" w:rsidR="6C3926E7">
        <w:rPr>
          <w:rFonts w:ascii="Calibri" w:hAnsi="Calibri" w:eastAsia="Calibri" w:cs="Calibri"/>
          <w:b w:val="0"/>
          <w:bCs w:val="0"/>
          <w:i w:val="0"/>
          <w:iCs w:val="0"/>
          <w:noProof w:val="0"/>
          <w:sz w:val="24"/>
          <w:szCs w:val="24"/>
          <w:lang w:val="en-US"/>
        </w:rPr>
        <w:t xml:space="preserve">In experimental models, Harry Eagle demonstrated that penicillin is most effective during the exponential growth phase of GAS when it is actively multiplying, and the addition of clindamycin by inhibiting bacterial protein synthesis through binding to the 23S RNA of the 50S subunit of the ribosome may further enhance the killing effects of GAS during the stationary phase (see Figure below).  Furthermore, clindamycin can suppress streptococcal toxin and cytokine production and inhibits bacterial protein synthesis in addition to the inhibition of cell wall synthesis of penicillin.  </w:t>
      </w:r>
      <w:r w:rsidRPr="6C3926E7" w:rsidR="6C3926E7">
        <w:rPr>
          <w:rFonts w:ascii="Calibri" w:hAnsi="Calibri" w:eastAsia="Calibri" w:cs="Calibri"/>
          <w:b w:val="0"/>
          <w:bCs w:val="0"/>
          <w:i w:val="0"/>
          <w:iCs w:val="0"/>
          <w:noProof w:val="0"/>
          <w:sz w:val="24"/>
          <w:szCs w:val="24"/>
          <w:lang w:val="en-US"/>
        </w:rPr>
        <w:t>A</w:t>
      </w:r>
      <w:r w:rsidRPr="6C3926E7" w:rsidR="6C3926E7">
        <w:rPr>
          <w:rFonts w:ascii="Calibri" w:hAnsi="Calibri" w:eastAsia="Calibri" w:cs="Calibri"/>
          <w:b w:val="0"/>
          <w:bCs w:val="0"/>
          <w:i w:val="0"/>
          <w:iCs w:val="0"/>
          <w:noProof w:val="0"/>
          <w:sz w:val="24"/>
          <w:szCs w:val="24"/>
          <w:lang w:val="en-US"/>
        </w:rPr>
        <w:t xml:space="preserve">nimal data suggest clindamycin may be more effective than penicillin against </w:t>
      </w:r>
      <w:r w:rsidRPr="6C3926E7" w:rsidR="6C3926E7">
        <w:rPr>
          <w:rFonts w:ascii="Calibri" w:hAnsi="Calibri" w:eastAsia="Calibri" w:cs="Calibri"/>
          <w:b w:val="0"/>
          <w:bCs w:val="0"/>
          <w:i w:val="1"/>
          <w:iCs w:val="1"/>
          <w:noProof w:val="0"/>
          <w:sz w:val="24"/>
          <w:szCs w:val="24"/>
          <w:lang w:val="en-US"/>
        </w:rPr>
        <w:t>Clostridium perfringens</w:t>
      </w:r>
      <w:r w:rsidRPr="6C3926E7" w:rsidR="6C3926E7">
        <w:rPr>
          <w:rFonts w:ascii="Calibri" w:hAnsi="Calibri" w:eastAsia="Calibri" w:cs="Calibri"/>
          <w:b w:val="0"/>
          <w:bCs w:val="0"/>
          <w:i w:val="0"/>
          <w:iCs w:val="0"/>
          <w:noProof w:val="0"/>
          <w:sz w:val="24"/>
          <w:szCs w:val="24"/>
          <w:lang w:val="en-US"/>
        </w:rPr>
        <w:t xml:space="preserve">, and thus combination therapy with PCN and clindamycin are often recommended. </w:t>
      </w:r>
    </w:p>
    <w:p w:rsidR="77D112B6" w:rsidP="77D112B6" w:rsidRDefault="77D112B6" w14:paraId="40C3B019" w14:textId="35F7B29F">
      <w:pPr>
        <w:pStyle w:val="Normal"/>
        <w:spacing w:after="160" w:line="259" w:lineRule="auto"/>
      </w:pPr>
      <w:r>
        <w:drawing>
          <wp:inline wp14:editId="2B981129" wp14:anchorId="2C35EB3E">
            <wp:extent cx="4050646" cy="2778328"/>
            <wp:effectExtent l="0" t="0" r="0" b="0"/>
            <wp:docPr id="1709718814" name="" title=""/>
            <wp:cNvGraphicFramePr>
              <a:graphicFrameLocks noChangeAspect="1"/>
            </wp:cNvGraphicFramePr>
            <a:graphic>
              <a:graphicData uri="http://schemas.openxmlformats.org/drawingml/2006/picture">
                <pic:pic>
                  <pic:nvPicPr>
                    <pic:cNvPr id="0" name=""/>
                    <pic:cNvPicPr/>
                  </pic:nvPicPr>
                  <pic:blipFill>
                    <a:blip r:embed="R39890b82b31b4cca">
                      <a:extLst>
                        <a:ext xmlns:a="http://schemas.openxmlformats.org/drawingml/2006/main" uri="{28A0092B-C50C-407E-A947-70E740481C1C}">
                          <a14:useLocalDpi val="0"/>
                        </a:ext>
                      </a:extLst>
                    </a:blip>
                    <a:stretch>
                      <a:fillRect/>
                    </a:stretch>
                  </pic:blipFill>
                  <pic:spPr>
                    <a:xfrm>
                      <a:off x="0" y="0"/>
                      <a:ext cx="4050646" cy="2778328"/>
                    </a:xfrm>
                    <a:prstGeom prst="rect">
                      <a:avLst/>
                    </a:prstGeom>
                  </pic:spPr>
                </pic:pic>
              </a:graphicData>
            </a:graphic>
          </wp:inline>
        </w:drawing>
      </w:r>
    </w:p>
    <w:p w:rsidR="77D112B6" w:rsidP="77D112B6" w:rsidRDefault="77D112B6" w14:paraId="17941F96" w14:textId="11C7A3BF">
      <w:pPr>
        <w:pStyle w:val="Normal"/>
        <w:spacing w:line="216" w:lineRule="auto"/>
        <w:ind w:left="360" w:hanging="360"/>
        <w:jc w:val="left"/>
      </w:pPr>
    </w:p>
    <w:p w:rsidR="77D112B6" w:rsidP="77D112B6" w:rsidRDefault="77D112B6" w14:paraId="166F9A99" w14:textId="50656CFA">
      <w:pPr>
        <w:spacing w:after="160" w:line="259" w:lineRule="auto"/>
        <w:rPr>
          <w:rFonts w:ascii="Calibri" w:hAnsi="Calibri" w:eastAsia="Calibri" w:cs="Calibri"/>
          <w:b w:val="0"/>
          <w:bCs w:val="0"/>
          <w:i w:val="0"/>
          <w:iCs w:val="0"/>
          <w:noProof w:val="0"/>
          <w:color w:val="000000" w:themeColor="text1" w:themeTint="FF" w:themeShade="FF"/>
          <w:sz w:val="24"/>
          <w:szCs w:val="24"/>
          <w:lang w:val="en-US"/>
        </w:rPr>
      </w:pPr>
    </w:p>
    <w:p w:rsidR="77D112B6" w:rsidP="77D112B6" w:rsidRDefault="77D112B6" w14:paraId="5ECD4913" w14:textId="1AFCD414">
      <w:pPr>
        <w:spacing w:after="160" w:line="259"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0"/>
          <w:iCs w:val="0"/>
          <w:noProof w:val="0"/>
          <w:color w:val="000000" w:themeColor="text1" w:themeTint="FF" w:themeShade="FF"/>
          <w:sz w:val="24"/>
          <w:szCs w:val="24"/>
          <w:lang w:val="en-US"/>
        </w:rPr>
        <w:t>REFERENCE:</w:t>
      </w:r>
    </w:p>
    <w:p w:rsidR="77D112B6" w:rsidP="77D112B6" w:rsidRDefault="77D112B6" w14:paraId="128A685F" w14:textId="015E8AFF">
      <w:pPr>
        <w:pStyle w:val="ListParagraph"/>
        <w:numPr>
          <w:ilvl w:val="0"/>
          <w:numId w:val="1"/>
        </w:numPr>
        <w:spacing w:after="160" w:line="259" w:lineRule="auto"/>
        <w:rPr>
          <w:b w:val="0"/>
          <w:bCs w:val="0"/>
          <w:i w:val="0"/>
          <w:iCs w:val="0"/>
          <w:noProof w:val="0"/>
          <w:color w:val="000000" w:themeColor="text1" w:themeTint="FF" w:themeShade="FF"/>
          <w:sz w:val="24"/>
          <w:szCs w:val="24"/>
          <w:lang w:val="en-US"/>
        </w:rPr>
      </w:pPr>
      <w:r w:rsidRPr="77D112B6" w:rsidR="77D112B6">
        <w:rPr>
          <w:rFonts w:ascii="Calibri" w:hAnsi="Calibri" w:eastAsia="Calibri" w:cs="Calibri"/>
          <w:b w:val="0"/>
          <w:bCs w:val="0"/>
          <w:i w:val="0"/>
          <w:iCs w:val="0"/>
          <w:noProof w:val="0"/>
          <w:color w:val="000000" w:themeColor="text1" w:themeTint="FF" w:themeShade="FF"/>
          <w:sz w:val="24"/>
          <w:szCs w:val="24"/>
          <w:lang w:val="en-US"/>
        </w:rPr>
        <w:t>Stevens DL, et al. Practice guidelines for the diagnosis and management of skin and soft tissue infections: 2014 update by the Infectious Disease Society of America. Clin Infect Dis 2014</w:t>
      </w:r>
      <w:r w:rsidRPr="77D112B6" w:rsidR="77D112B6">
        <w:rPr>
          <w:rFonts w:ascii="Calibri" w:hAnsi="Calibri" w:eastAsia="Calibri" w:cs="Calibri"/>
          <w:b w:val="0"/>
          <w:bCs w:val="0"/>
          <w:i w:val="0"/>
          <w:iCs w:val="0"/>
          <w:noProof w:val="0"/>
          <w:sz w:val="22"/>
          <w:szCs w:val="22"/>
          <w:lang w:val="en-US"/>
        </w:rPr>
        <w:t>15;59(2):e10-52.</w:t>
      </w:r>
    </w:p>
    <w:p w:rsidR="77D112B6" w:rsidP="77D112B6" w:rsidRDefault="77D112B6" w14:paraId="505FDF3C" w14:textId="0C31B10F">
      <w:pPr>
        <w:spacing w:beforeAutospacing="on" w:after="160" w:afterAutospacing="on" w:line="240" w:lineRule="auto"/>
        <w:rPr>
          <w:rFonts w:ascii="Calibri" w:hAnsi="Calibri" w:eastAsia="Calibri" w:cs="Calibri"/>
          <w:b w:val="0"/>
          <w:bCs w:val="0"/>
          <w:i w:val="0"/>
          <w:iCs w:val="0"/>
          <w:noProof w:val="0"/>
          <w:color w:val="000000" w:themeColor="text1" w:themeTint="FF" w:themeShade="FF"/>
          <w:sz w:val="24"/>
          <w:szCs w:val="24"/>
          <w:lang w:val="en-US"/>
        </w:rPr>
      </w:pPr>
    </w:p>
    <w:p w:rsidR="77D112B6" w:rsidP="77D112B6" w:rsidRDefault="77D112B6" w14:paraId="62E10305" w14:textId="65D985EF">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0"/>
          <w:iCs w:val="0"/>
          <w:noProof w:val="0"/>
          <w:color w:val="000000" w:themeColor="text1" w:themeTint="FF" w:themeShade="FF"/>
          <w:sz w:val="24"/>
          <w:szCs w:val="24"/>
          <w:lang w:val="en-US"/>
        </w:rPr>
        <w:t>On behalf of the UW TASP Specialist Team:  </w:t>
      </w: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0488823D" w14:textId="1028D5F9">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6C8738A4" w14:textId="3821079F">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1"/>
          <w:iCs w:val="1"/>
          <w:noProof w:val="0"/>
          <w:color w:val="000000" w:themeColor="text1" w:themeTint="FF" w:themeShade="FF"/>
          <w:sz w:val="24"/>
          <w:szCs w:val="24"/>
          <w:lang w:val="en-US"/>
        </w:rPr>
        <w:t>John Lynch, MD MPH</w:t>
      </w: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57C48BAE" w14:textId="5E8EEE72">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1"/>
          <w:iCs w:val="1"/>
          <w:noProof w:val="0"/>
          <w:color w:val="000000" w:themeColor="text1" w:themeTint="FF" w:themeShade="FF"/>
          <w:sz w:val="24"/>
          <w:szCs w:val="24"/>
          <w:lang w:val="en-US"/>
        </w:rPr>
        <w:t>Chloe Bryson-Cahn, MD</w:t>
      </w: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0D6D3F38" w14:textId="6EFC1305">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1"/>
          <w:iCs w:val="1"/>
          <w:noProof w:val="0"/>
          <w:color w:val="000000" w:themeColor="text1" w:themeTint="FF" w:themeShade="FF"/>
          <w:sz w:val="24"/>
          <w:szCs w:val="24"/>
          <w:lang w:val="en-US"/>
        </w:rPr>
        <w:t>Jeannie Chan, PharmD</w:t>
      </w: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6C0AF685" w14:textId="22CC2093">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1"/>
          <w:iCs w:val="1"/>
          <w:noProof w:val="0"/>
          <w:color w:val="000000" w:themeColor="text1" w:themeTint="FF" w:themeShade="FF"/>
          <w:sz w:val="24"/>
          <w:szCs w:val="24"/>
          <w:lang w:val="en-US"/>
        </w:rPr>
        <w:t>Zahra Kassamali Escobar, PharmD</w:t>
      </w: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4B02BAF4" w14:textId="19AA727B">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1"/>
          <w:iCs w:val="1"/>
          <w:noProof w:val="0"/>
          <w:color w:val="000000" w:themeColor="text1" w:themeTint="FF" w:themeShade="FF"/>
          <w:sz w:val="24"/>
          <w:szCs w:val="24"/>
          <w:lang w:val="en-US"/>
        </w:rPr>
        <w:t>Rupali Jain, PharmD</w:t>
      </w: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7686169C" w14:textId="6D287883">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1"/>
          <w:iCs w:val="1"/>
          <w:noProof w:val="0"/>
          <w:color w:val="000000" w:themeColor="text1" w:themeTint="FF" w:themeShade="FF"/>
          <w:sz w:val="24"/>
          <w:szCs w:val="24"/>
          <w:lang w:val="en-US"/>
        </w:rPr>
        <w:t>Paul Pottinger, MD FIDSA</w:t>
      </w: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78AF9CCC" w14:textId="1BBF4D79">
      <w:pPr>
        <w:spacing w:beforeAutospacing="on" w:after="160" w:afterAutospacing="on" w:line="240" w:lineRule="auto"/>
        <w:rPr>
          <w:rFonts w:ascii="Calibri" w:hAnsi="Calibri" w:eastAsia="Calibri" w:cs="Calibri"/>
          <w:b w:val="0"/>
          <w:bCs w:val="0"/>
          <w:i w:val="0"/>
          <w:iCs w:val="0"/>
          <w:noProof w:val="0"/>
          <w:sz w:val="24"/>
          <w:szCs w:val="24"/>
          <w:lang w:val="en-US"/>
        </w:rPr>
      </w:pPr>
      <w:r w:rsidRPr="77D112B6" w:rsidR="77D112B6">
        <w:rPr>
          <w:rFonts w:ascii="Calibri" w:hAnsi="Calibri" w:eastAsia="Calibri" w:cs="Calibri"/>
          <w:b w:val="0"/>
          <w:bCs w:val="0"/>
          <w:i w:val="0"/>
          <w:iCs w:val="0"/>
          <w:noProof w:val="0"/>
          <w:sz w:val="24"/>
          <w:szCs w:val="24"/>
          <w:lang w:val="en-US"/>
        </w:rPr>
        <w:t>  </w:t>
      </w:r>
    </w:p>
    <w:p w:rsidR="77D112B6" w:rsidP="77D112B6" w:rsidRDefault="77D112B6" w14:paraId="126F2F1F" w14:textId="06685130">
      <w:pPr>
        <w:spacing w:beforeAutospacing="on" w:after="160" w:afterAutospacing="on" w:line="240" w:lineRule="auto"/>
        <w:rPr>
          <w:rFonts w:ascii="Calibri" w:hAnsi="Calibri" w:eastAsia="Calibri" w:cs="Calibri"/>
          <w:b w:val="0"/>
          <w:bCs w:val="0"/>
          <w:i w:val="0"/>
          <w:iCs w:val="0"/>
          <w:noProof w:val="0"/>
          <w:sz w:val="20"/>
          <w:szCs w:val="20"/>
          <w:lang w:val="en-US"/>
        </w:rPr>
      </w:pPr>
      <w:r w:rsidRPr="77D112B6" w:rsidR="77D112B6">
        <w:rPr>
          <w:rFonts w:ascii="Calibri" w:hAnsi="Calibri" w:eastAsia="Calibri" w:cs="Calibri"/>
          <w:b w:val="0"/>
          <w:bCs w:val="0"/>
          <w:i w:val="0"/>
          <w:iCs w:val="0"/>
          <w:noProof w:val="0"/>
          <w:color w:val="000000" w:themeColor="text1" w:themeTint="FF" w:themeShade="FF"/>
          <w:sz w:val="20"/>
          <w:szCs w:val="20"/>
          <w:lang w:val="en-US"/>
        </w:rPr>
        <w:t>PLEASE NOTE that UW TASP case consultations do </w:t>
      </w:r>
      <w:r w:rsidRPr="77D112B6" w:rsidR="77D112B6">
        <w:rPr>
          <w:rFonts w:ascii="Calibri" w:hAnsi="Calibri" w:eastAsia="Calibri" w:cs="Calibri"/>
          <w:b w:val="0"/>
          <w:bCs w:val="0"/>
          <w:i w:val="0"/>
          <w:iCs w:val="0"/>
          <w:noProof w:val="0"/>
          <w:color w:val="000000" w:themeColor="text1" w:themeTint="FF" w:themeShade="FF"/>
          <w:sz w:val="20"/>
          <w:szCs w:val="20"/>
          <w:u w:val="single"/>
          <w:lang w:val="en-US"/>
        </w:rPr>
        <w:t>not</w:t>
      </w:r>
      <w:r w:rsidRPr="77D112B6" w:rsidR="77D112B6">
        <w:rPr>
          <w:rFonts w:ascii="Calibri" w:hAnsi="Calibri" w:eastAsia="Calibri" w:cs="Calibri"/>
          <w:b w:val="0"/>
          <w:bCs w:val="0"/>
          <w:i w:val="0"/>
          <w:iCs w:val="0"/>
          <w:noProof w:val="0"/>
          <w:color w:val="000000" w:themeColor="text1" w:themeTint="FF" w:themeShade="FF"/>
          <w:sz w:val="20"/>
          <w:szCs w:val="20"/>
          <w:lang w:val="en-US"/>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sidRPr="77D112B6" w:rsidR="77D112B6">
        <w:rPr>
          <w:rFonts w:ascii="Calibri" w:hAnsi="Calibri" w:eastAsia="Calibri" w:cs="Calibri"/>
          <w:b w:val="0"/>
          <w:bCs w:val="0"/>
          <w:i w:val="0"/>
          <w:iCs w:val="0"/>
          <w:noProof w:val="0"/>
          <w:sz w:val="20"/>
          <w:szCs w:val="20"/>
          <w:lang w:val="en-US"/>
        </w:rPr>
        <w:t> </w:t>
      </w:r>
    </w:p>
    <w:p w:rsidR="77D112B6" w:rsidP="77D112B6" w:rsidRDefault="77D112B6" w14:paraId="2F4C4E7C" w14:textId="2B7F91ED">
      <w:pPr>
        <w:spacing w:after="160" w:line="259" w:lineRule="auto"/>
        <w:rPr>
          <w:rFonts w:ascii="Calibri" w:hAnsi="Calibri" w:eastAsia="Calibri" w:cs="Calibri"/>
          <w:b w:val="0"/>
          <w:bCs w:val="0"/>
          <w:i w:val="0"/>
          <w:iCs w:val="0"/>
          <w:noProof w:val="0"/>
          <w:sz w:val="22"/>
          <w:szCs w:val="22"/>
          <w:lang w:val="en-US"/>
        </w:rPr>
      </w:pPr>
    </w:p>
    <w:p w:rsidR="77D112B6" w:rsidP="77D112B6" w:rsidRDefault="77D112B6" w14:paraId="263988A7" w14:textId="286AFF1D">
      <w:pPr>
        <w:pStyle w:val="Normal"/>
        <w:rPr>
          <w:rFonts w:ascii="Calibri" w:hAnsi="Calibri" w:asciiTheme="majorAscii" w:hAnsiTheme="majorAscii"/>
          <w:sz w:val="20"/>
          <w:szCs w:val="20"/>
        </w:rPr>
      </w:pPr>
    </w:p>
    <w:sectPr w:rsidRPr="0071199B" w:rsidR="00EF5E7F" w:rsidSect="00363755">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55"/>
    <w:rsid w:val="00026ABF"/>
    <w:rsid w:val="001F21AE"/>
    <w:rsid w:val="00226F55"/>
    <w:rsid w:val="00363755"/>
    <w:rsid w:val="00500B25"/>
    <w:rsid w:val="0071199B"/>
    <w:rsid w:val="00770AF0"/>
    <w:rsid w:val="00B45E59"/>
    <w:rsid w:val="00EF5E7F"/>
    <w:rsid w:val="0E6C11A6"/>
    <w:rsid w:val="6C3926E7"/>
    <w:rsid w:val="6E73B6C9"/>
    <w:rsid w:val="77D11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B62AA2"/>
  <w14:defaultImageDpi w14:val="300"/>
  <w15:docId w15:val="{7F5F6814-AA9B-B744-9A17-1122284D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F21A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F21AE"/>
    <w:rPr>
      <w:rFonts w:ascii="Lucida Grande" w:hAnsi="Lucida Grande" w:cs="Lucida Grande"/>
      <w:sz w:val="18"/>
      <w:szCs w:val="18"/>
      <w:lang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763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3.png" Id="R39890b82b31b4cca" /><Relationship Type="http://schemas.openxmlformats.org/officeDocument/2006/relationships/numbering" Target="/word/numbering.xml" Id="R6d404c752d6b4d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6" ma:contentTypeDescription="Create a new document." ma:contentTypeScope="" ma:versionID="fde942e2577b13d8b158bc44dcb3ecce">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74474b093c4c2dcc5b1a1ffdd869e9fb"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D7EA1-F5BF-BF4F-A64D-70C626B67AA3}">
  <ds:schemaRefs>
    <ds:schemaRef ds:uri="http://schemas.openxmlformats.org/officeDocument/2006/bibliography"/>
  </ds:schemaRefs>
</ds:datastoreItem>
</file>

<file path=customXml/itemProps2.xml><?xml version="1.0" encoding="utf-8"?>
<ds:datastoreItem xmlns:ds="http://schemas.openxmlformats.org/officeDocument/2006/customXml" ds:itemID="{207CD9EB-0E34-4CD2-9233-56B4DF49E796}"/>
</file>

<file path=customXml/itemProps3.xml><?xml version="1.0" encoding="utf-8"?>
<ds:datastoreItem xmlns:ds="http://schemas.openxmlformats.org/officeDocument/2006/customXml" ds:itemID="{934FA251-8E66-4910-B4C8-EF14722EF85A}"/>
</file>

<file path=customXml/itemProps4.xml><?xml version="1.0" encoding="utf-8"?>
<ds:datastoreItem xmlns:ds="http://schemas.openxmlformats.org/officeDocument/2006/customXml" ds:itemID="{5BB61652-BCCB-4A41-8F13-8B9766B0CC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UC Denver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Khoa Nguyễn</dc:creator>
  <keywords/>
  <dc:description/>
  <lastModifiedBy>Zahra K Escobar</lastModifiedBy>
  <revision>6</revision>
  <dcterms:created xsi:type="dcterms:W3CDTF">2019-07-03T17:22:00.0000000Z</dcterms:created>
  <dcterms:modified xsi:type="dcterms:W3CDTF">2019-07-12T14:27:03.3731817Z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