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E3B81" w14:textId="5F256E68" w:rsidR="4F66C1B9" w:rsidRDefault="4F66C1B9" w:rsidP="4F66C1B9">
      <w:pPr>
        <w:spacing w:after="0"/>
        <w:rPr>
          <w:rFonts w:ascii="Calibri" w:hAnsi="Calibri"/>
          <w:sz w:val="32"/>
          <w:szCs w:val="32"/>
        </w:rPr>
      </w:pPr>
      <w:bookmarkStart w:id="0" w:name="_GoBack"/>
      <w:bookmarkEnd w:id="0"/>
      <w:r>
        <w:rPr>
          <w:noProof/>
        </w:rPr>
        <w:drawing>
          <wp:inline distT="0" distB="0" distL="0" distR="0" wp14:anchorId="022447FF" wp14:editId="1D6F019A">
            <wp:extent cx="2514600" cy="754380"/>
            <wp:effectExtent l="0" t="0" r="0" b="0"/>
            <wp:docPr id="1930187790" name="Picture 3038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014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754380"/>
                    </a:xfrm>
                    <a:prstGeom prst="rect">
                      <a:avLst/>
                    </a:prstGeom>
                  </pic:spPr>
                </pic:pic>
              </a:graphicData>
            </a:graphic>
          </wp:inline>
        </w:drawing>
      </w:r>
    </w:p>
    <w:p w14:paraId="60AA51A4" w14:textId="7232FBA5" w:rsidR="4F66C1B9" w:rsidRDefault="4F66C1B9" w:rsidP="4F66C1B9">
      <w:pPr>
        <w:spacing w:after="0"/>
        <w:rPr>
          <w:rFonts w:ascii="Calibri" w:hAnsi="Calibri"/>
          <w:b/>
          <w:bCs/>
          <w:sz w:val="32"/>
          <w:szCs w:val="32"/>
        </w:rPr>
      </w:pPr>
    </w:p>
    <w:p w14:paraId="1EED3971" w14:textId="19DDB496" w:rsidR="00B2265D" w:rsidRPr="00C61BA7" w:rsidRDefault="00C61BA7" w:rsidP="4F66C1B9">
      <w:pPr>
        <w:spacing w:after="0"/>
        <w:rPr>
          <w:rFonts w:ascii="Calibri" w:hAnsi="Calibri"/>
          <w:sz w:val="32"/>
          <w:szCs w:val="32"/>
        </w:rPr>
      </w:pPr>
      <w:r w:rsidRPr="4F66C1B9">
        <w:rPr>
          <w:rFonts w:ascii="Calibri" w:hAnsi="Calibri"/>
          <w:b/>
          <w:bCs/>
          <w:sz w:val="32"/>
          <w:szCs w:val="32"/>
        </w:rPr>
        <w:t>Hospital:</w:t>
      </w:r>
      <w:r w:rsidR="006A01B2" w:rsidRPr="00C61BA7">
        <w:rPr>
          <w:rFonts w:ascii="Calibri" w:hAnsi="Calibri"/>
          <w:sz w:val="32"/>
          <w:szCs w:val="32"/>
        </w:rPr>
        <w:t xml:space="preserve"> </w:t>
      </w:r>
      <w:r w:rsidR="00B2265D" w:rsidRPr="00C61BA7">
        <w:rPr>
          <w:rFonts w:ascii="Calibri" w:hAnsi="Calibri"/>
          <w:sz w:val="32"/>
          <w:szCs w:val="32"/>
        </w:rPr>
        <w:t>Astria Toppenish Hospital</w:t>
      </w:r>
    </w:p>
    <w:p w14:paraId="0DC163BE" w14:textId="673ED13B" w:rsidR="00B2265D" w:rsidRPr="00C61BA7" w:rsidRDefault="006A01B2" w:rsidP="00B2265D">
      <w:pPr>
        <w:spacing w:after="0"/>
        <w:rPr>
          <w:rFonts w:ascii="Calibri" w:hAnsi="Calibri"/>
          <w:sz w:val="32"/>
          <w:szCs w:val="32"/>
        </w:rPr>
      </w:pPr>
      <w:r w:rsidRPr="00C61BA7">
        <w:rPr>
          <w:rFonts w:ascii="Calibri" w:hAnsi="Calibri"/>
          <w:b/>
          <w:sz w:val="32"/>
          <w:szCs w:val="32"/>
        </w:rPr>
        <w:t>Presenter:</w:t>
      </w:r>
      <w:r w:rsidRPr="00C61BA7">
        <w:rPr>
          <w:rFonts w:ascii="Calibri" w:hAnsi="Calibri"/>
          <w:sz w:val="32"/>
          <w:szCs w:val="32"/>
        </w:rPr>
        <w:t xml:space="preserve"> </w:t>
      </w:r>
      <w:r w:rsidR="00C33EBD" w:rsidRPr="00C61BA7">
        <w:rPr>
          <w:rFonts w:ascii="Calibri" w:hAnsi="Calibri"/>
          <w:sz w:val="32"/>
          <w:szCs w:val="32"/>
        </w:rPr>
        <w:t>Anthony McDonald, PharmD-candidate; Patrick O’Connor, RPh</w:t>
      </w:r>
    </w:p>
    <w:p w14:paraId="4F1C32A2" w14:textId="77777777" w:rsidR="00B2265D" w:rsidRPr="006A01B2" w:rsidRDefault="00B2265D" w:rsidP="00B2265D">
      <w:pPr>
        <w:spacing w:after="0"/>
        <w:rPr>
          <w:rFonts w:ascii="Calibri" w:hAnsi="Calibri"/>
          <w:sz w:val="24"/>
          <w:szCs w:val="24"/>
        </w:rPr>
      </w:pPr>
    </w:p>
    <w:p w14:paraId="07CF5D0D" w14:textId="0CEB91EE" w:rsidR="00B2265D" w:rsidRPr="006A01B2" w:rsidRDefault="730C540E" w:rsidP="006A01B2">
      <w:pPr>
        <w:spacing w:after="0"/>
        <w:rPr>
          <w:rFonts w:ascii="Calibri" w:hAnsi="Calibri"/>
          <w:sz w:val="24"/>
          <w:szCs w:val="24"/>
        </w:rPr>
      </w:pPr>
      <w:r w:rsidRPr="730C540E">
        <w:rPr>
          <w:rFonts w:ascii="Calibri" w:hAnsi="Calibri"/>
          <w:b/>
          <w:bCs/>
          <w:sz w:val="24"/>
          <w:szCs w:val="24"/>
        </w:rPr>
        <w:t>Case Description &amp; Background</w:t>
      </w:r>
    </w:p>
    <w:p w14:paraId="737FBABB" w14:textId="77777777" w:rsidR="00B2265D" w:rsidRPr="006A01B2" w:rsidRDefault="00B2265D" w:rsidP="00B2265D">
      <w:pPr>
        <w:spacing w:after="0"/>
        <w:rPr>
          <w:rFonts w:ascii="Calibri" w:hAnsi="Calibri"/>
          <w:sz w:val="24"/>
          <w:szCs w:val="24"/>
        </w:rPr>
      </w:pPr>
    </w:p>
    <w:p w14:paraId="062B9D9C" w14:textId="77777777" w:rsidR="00B2265D" w:rsidRPr="006A01B2" w:rsidRDefault="00B2265D" w:rsidP="00B2265D">
      <w:pPr>
        <w:spacing w:after="0"/>
        <w:rPr>
          <w:rFonts w:ascii="Calibri" w:hAnsi="Calibri"/>
          <w:sz w:val="24"/>
          <w:szCs w:val="24"/>
        </w:rPr>
      </w:pPr>
      <w:r w:rsidRPr="006A01B2">
        <w:rPr>
          <w:rFonts w:ascii="Calibri" w:hAnsi="Calibri"/>
          <w:sz w:val="24"/>
          <w:szCs w:val="24"/>
        </w:rPr>
        <w:t>Patient presented to the ED with general malaise with nausea and vomiting. On exam, it was noted that the patient’s left lower leg was “red-hot” and while she could move it, it came with great amounts of pain. Patient states that she was feeling well up until the day of presentation.</w:t>
      </w:r>
      <w:r w:rsidR="00C17D89" w:rsidRPr="006A01B2">
        <w:rPr>
          <w:rFonts w:ascii="Calibri" w:hAnsi="Calibri"/>
          <w:sz w:val="24"/>
          <w:szCs w:val="24"/>
        </w:rPr>
        <w:t xml:space="preserve"> </w:t>
      </w:r>
      <w:r w:rsidRPr="006A01B2">
        <w:rPr>
          <w:rFonts w:ascii="Calibri" w:hAnsi="Calibri"/>
          <w:sz w:val="24"/>
          <w:szCs w:val="24"/>
        </w:rPr>
        <w:t>Physical exam notes erythema of the left leg with some pretibial blistering. Thigh was described as very swollen and hot. Patient had strong pedal pulses bilaterally and was negative for femoral nodes. Patient denied sore throat, ear pain, dysuria, diarrhea, constipation, melena, or hematochezia.</w:t>
      </w:r>
    </w:p>
    <w:p w14:paraId="524A1EF2" w14:textId="77777777" w:rsidR="00B2265D" w:rsidRPr="006A01B2" w:rsidRDefault="00B2265D" w:rsidP="00B2265D">
      <w:pPr>
        <w:spacing w:after="0"/>
        <w:rPr>
          <w:rFonts w:ascii="Calibri" w:hAnsi="Calibri"/>
          <w:sz w:val="24"/>
          <w:szCs w:val="24"/>
        </w:rPr>
      </w:pPr>
    </w:p>
    <w:p w14:paraId="6644F9DC" w14:textId="6B8110E3" w:rsidR="006A01B2" w:rsidRPr="006A01B2" w:rsidRDefault="730C540E" w:rsidP="730C540E">
      <w:pPr>
        <w:spacing w:after="0"/>
        <w:rPr>
          <w:rFonts w:ascii="Calibri" w:hAnsi="Calibri"/>
          <w:sz w:val="24"/>
          <w:szCs w:val="24"/>
        </w:rPr>
      </w:pPr>
      <w:r w:rsidRPr="730C540E">
        <w:rPr>
          <w:rFonts w:ascii="Calibri" w:hAnsi="Calibri"/>
          <w:sz w:val="24"/>
          <w:szCs w:val="24"/>
        </w:rPr>
        <w:t>Labs (Admit): WBC 22.6, Lactate 2.8</w:t>
      </w:r>
    </w:p>
    <w:p w14:paraId="48E8C77E" w14:textId="6CDA2402" w:rsidR="730C540E" w:rsidRDefault="730C540E" w:rsidP="730C540E">
      <w:pPr>
        <w:spacing w:after="0"/>
        <w:rPr>
          <w:rFonts w:ascii="Calibri" w:hAnsi="Calibri"/>
          <w:sz w:val="24"/>
          <w:szCs w:val="24"/>
        </w:rPr>
      </w:pPr>
    </w:p>
    <w:p w14:paraId="0764A11F" w14:textId="444A023F" w:rsidR="00B2265D" w:rsidRPr="006A01B2" w:rsidRDefault="009212D8" w:rsidP="006A01B2">
      <w:pPr>
        <w:spacing w:after="0"/>
        <w:rPr>
          <w:rFonts w:ascii="Calibri" w:hAnsi="Calibri"/>
          <w:b/>
          <w:sz w:val="24"/>
          <w:szCs w:val="24"/>
        </w:rPr>
      </w:pPr>
      <w:r w:rsidRPr="006A01B2">
        <w:rPr>
          <w:rFonts w:ascii="Calibri" w:hAnsi="Calibri"/>
          <w:b/>
          <w:sz w:val="24"/>
          <w:szCs w:val="24"/>
        </w:rPr>
        <w:t>Course of Treatment</w:t>
      </w:r>
    </w:p>
    <w:p w14:paraId="3A85CB19" w14:textId="77777777" w:rsidR="00B2265D" w:rsidRPr="006A01B2" w:rsidRDefault="00FB798D" w:rsidP="00B2265D">
      <w:pPr>
        <w:spacing w:after="0"/>
        <w:rPr>
          <w:rFonts w:ascii="Calibri" w:hAnsi="Calibri"/>
          <w:sz w:val="24"/>
          <w:szCs w:val="24"/>
        </w:rPr>
      </w:pPr>
      <w:r w:rsidRPr="006A01B2">
        <w:rPr>
          <w:rFonts w:ascii="Calibri" w:hAnsi="Calibri"/>
          <w:sz w:val="24"/>
          <w:szCs w:val="24"/>
        </w:rPr>
        <w:t xml:space="preserve">Day 1 – Admit </w:t>
      </w:r>
    </w:p>
    <w:p w14:paraId="39CD57B2" w14:textId="77777777" w:rsidR="00B2265D" w:rsidRPr="006A01B2" w:rsidRDefault="00B2265D" w:rsidP="00B2265D">
      <w:pPr>
        <w:spacing w:after="0"/>
        <w:rPr>
          <w:rFonts w:ascii="Calibri" w:hAnsi="Calibri"/>
          <w:sz w:val="24"/>
          <w:szCs w:val="24"/>
        </w:rPr>
      </w:pPr>
      <w:r w:rsidRPr="006A01B2">
        <w:rPr>
          <w:rFonts w:ascii="Calibri" w:hAnsi="Calibri"/>
          <w:sz w:val="24"/>
          <w:szCs w:val="24"/>
        </w:rPr>
        <w:t>Dx: ce</w:t>
      </w:r>
      <w:r w:rsidR="0044625A" w:rsidRPr="006A01B2">
        <w:rPr>
          <w:rFonts w:ascii="Calibri" w:hAnsi="Calibri"/>
          <w:sz w:val="24"/>
          <w:szCs w:val="24"/>
        </w:rPr>
        <w:t>llulitis of left leg.</w:t>
      </w:r>
      <w:r w:rsidRPr="006A01B2">
        <w:rPr>
          <w:rFonts w:ascii="Calibri" w:hAnsi="Calibri"/>
          <w:sz w:val="24"/>
          <w:szCs w:val="24"/>
        </w:rPr>
        <w:t xml:space="preserve"> Hospitalist agrees and decides to admit the patient. Blood cultures were drawn and patient was given 925 mg acetaminophen PR</w:t>
      </w:r>
      <w:r w:rsidR="00F5320C" w:rsidRPr="006A01B2">
        <w:rPr>
          <w:rFonts w:ascii="Calibri" w:hAnsi="Calibri"/>
          <w:sz w:val="24"/>
          <w:szCs w:val="24"/>
        </w:rPr>
        <w:t xml:space="preserve"> for fever a</w:t>
      </w:r>
      <w:r w:rsidRPr="006A01B2">
        <w:rPr>
          <w:rFonts w:ascii="Calibri" w:hAnsi="Calibri"/>
          <w:sz w:val="24"/>
          <w:szCs w:val="24"/>
        </w:rPr>
        <w:t xml:space="preserve">nd was empirically started on 2 g ceftriaxone </w:t>
      </w:r>
      <w:r w:rsidR="008655FA" w:rsidRPr="006A01B2">
        <w:rPr>
          <w:rFonts w:ascii="Calibri" w:hAnsi="Calibri"/>
          <w:sz w:val="24"/>
          <w:szCs w:val="24"/>
        </w:rPr>
        <w:t>daily and vancomycin 1.5 g BID.</w:t>
      </w:r>
      <w:r w:rsidR="001C661F" w:rsidRPr="006A01B2">
        <w:rPr>
          <w:rFonts w:ascii="Calibri" w:hAnsi="Calibri"/>
          <w:sz w:val="24"/>
          <w:szCs w:val="24"/>
        </w:rPr>
        <w:t xml:space="preserve"> Preliminary microbiology report</w:t>
      </w:r>
      <w:r w:rsidR="00F5320C" w:rsidRPr="006A01B2">
        <w:rPr>
          <w:rFonts w:ascii="Calibri" w:hAnsi="Calibri"/>
          <w:sz w:val="24"/>
          <w:szCs w:val="24"/>
        </w:rPr>
        <w:t xml:space="preserve"> from that evening revealed</w:t>
      </w:r>
      <w:r w:rsidR="001C661F" w:rsidRPr="006A01B2">
        <w:rPr>
          <w:rFonts w:ascii="Calibri" w:hAnsi="Calibri"/>
          <w:sz w:val="24"/>
          <w:szCs w:val="24"/>
        </w:rPr>
        <w:t xml:space="preserve"> gram-positive cocci</w:t>
      </w:r>
      <w:r w:rsidR="00124A84" w:rsidRPr="006A01B2">
        <w:rPr>
          <w:rFonts w:ascii="Calibri" w:hAnsi="Calibri"/>
          <w:sz w:val="24"/>
          <w:szCs w:val="24"/>
        </w:rPr>
        <w:t xml:space="preserve"> in blood cultures.</w:t>
      </w:r>
    </w:p>
    <w:p w14:paraId="15AA2ACC" w14:textId="77777777" w:rsidR="00B268B6" w:rsidRPr="006A01B2" w:rsidRDefault="00B268B6" w:rsidP="00B2265D">
      <w:pPr>
        <w:spacing w:after="0"/>
        <w:rPr>
          <w:rFonts w:ascii="Calibri" w:hAnsi="Calibri"/>
          <w:sz w:val="24"/>
          <w:szCs w:val="24"/>
        </w:rPr>
      </w:pPr>
    </w:p>
    <w:p w14:paraId="3C389380" w14:textId="77777777" w:rsidR="00B268B6" w:rsidRPr="006A01B2" w:rsidRDefault="00FB798D" w:rsidP="00B2265D">
      <w:pPr>
        <w:spacing w:after="0"/>
        <w:rPr>
          <w:rFonts w:ascii="Calibri" w:hAnsi="Calibri"/>
          <w:sz w:val="24"/>
          <w:szCs w:val="24"/>
        </w:rPr>
      </w:pPr>
      <w:r w:rsidRPr="006A01B2">
        <w:rPr>
          <w:rFonts w:ascii="Calibri" w:hAnsi="Calibri"/>
          <w:sz w:val="24"/>
          <w:szCs w:val="24"/>
        </w:rPr>
        <w:t>Day 2</w:t>
      </w:r>
      <w:r w:rsidR="0044625A" w:rsidRPr="006A01B2">
        <w:rPr>
          <w:rFonts w:ascii="Calibri" w:hAnsi="Calibri"/>
          <w:sz w:val="24"/>
          <w:szCs w:val="24"/>
        </w:rPr>
        <w:t xml:space="preserve"> – WBC 37.5</w:t>
      </w:r>
    </w:p>
    <w:p w14:paraId="617F6299" w14:textId="77777777" w:rsidR="001C661F" w:rsidRPr="006A01B2" w:rsidRDefault="001C661F" w:rsidP="00B2265D">
      <w:pPr>
        <w:spacing w:after="0"/>
        <w:rPr>
          <w:rFonts w:ascii="Calibri" w:hAnsi="Calibri"/>
          <w:sz w:val="24"/>
          <w:szCs w:val="24"/>
        </w:rPr>
      </w:pPr>
      <w:r w:rsidRPr="006A01B2">
        <w:rPr>
          <w:rFonts w:ascii="Calibri" w:hAnsi="Calibri"/>
          <w:sz w:val="24"/>
          <w:szCs w:val="24"/>
        </w:rPr>
        <w:t xml:space="preserve">Patient </w:t>
      </w:r>
      <w:r w:rsidR="00F5320C" w:rsidRPr="006A01B2">
        <w:rPr>
          <w:rFonts w:ascii="Calibri" w:hAnsi="Calibri"/>
          <w:sz w:val="24"/>
          <w:szCs w:val="24"/>
        </w:rPr>
        <w:t>remained</w:t>
      </w:r>
      <w:r w:rsidRPr="006A01B2">
        <w:rPr>
          <w:rFonts w:ascii="Calibri" w:hAnsi="Calibri"/>
          <w:sz w:val="24"/>
          <w:szCs w:val="24"/>
        </w:rPr>
        <w:t xml:space="preserve"> febrile</w:t>
      </w:r>
      <w:r w:rsidR="0044625A" w:rsidRPr="006A01B2">
        <w:rPr>
          <w:rFonts w:ascii="Calibri" w:hAnsi="Calibri"/>
          <w:sz w:val="24"/>
          <w:szCs w:val="24"/>
        </w:rPr>
        <w:t xml:space="preserve"> (T-max 102)</w:t>
      </w:r>
      <w:r w:rsidRPr="006A01B2">
        <w:rPr>
          <w:rFonts w:ascii="Calibri" w:hAnsi="Calibri"/>
          <w:sz w:val="24"/>
          <w:szCs w:val="24"/>
        </w:rPr>
        <w:t xml:space="preserve"> with significant WBC </w:t>
      </w:r>
      <w:r w:rsidR="0044625A" w:rsidRPr="006A01B2">
        <w:rPr>
          <w:rFonts w:ascii="Calibri" w:hAnsi="Calibri"/>
          <w:sz w:val="24"/>
          <w:szCs w:val="24"/>
        </w:rPr>
        <w:t>elevation (WBC 37.5).</w:t>
      </w:r>
    </w:p>
    <w:p w14:paraId="6EF68443" w14:textId="77777777" w:rsidR="0044625A" w:rsidRPr="006A01B2" w:rsidRDefault="0044625A" w:rsidP="00B2265D">
      <w:pPr>
        <w:spacing w:after="0"/>
        <w:rPr>
          <w:rFonts w:ascii="Calibri" w:hAnsi="Calibri"/>
          <w:sz w:val="24"/>
          <w:szCs w:val="24"/>
        </w:rPr>
      </w:pPr>
    </w:p>
    <w:p w14:paraId="023CE1C6" w14:textId="77777777" w:rsidR="001C661F" w:rsidRPr="006A01B2" w:rsidRDefault="00FB798D" w:rsidP="00B2265D">
      <w:pPr>
        <w:spacing w:after="0"/>
        <w:rPr>
          <w:rFonts w:ascii="Calibri" w:hAnsi="Calibri"/>
          <w:sz w:val="24"/>
          <w:szCs w:val="24"/>
        </w:rPr>
      </w:pPr>
      <w:r w:rsidRPr="006A01B2">
        <w:rPr>
          <w:rFonts w:ascii="Calibri" w:hAnsi="Calibri"/>
          <w:sz w:val="24"/>
          <w:szCs w:val="24"/>
        </w:rPr>
        <w:t>Day 3</w:t>
      </w:r>
      <w:r w:rsidR="006C067A" w:rsidRPr="006A01B2">
        <w:rPr>
          <w:rFonts w:ascii="Calibri" w:hAnsi="Calibri"/>
          <w:sz w:val="24"/>
          <w:szCs w:val="24"/>
        </w:rPr>
        <w:t xml:space="preserve"> – WBC 29</w:t>
      </w:r>
    </w:p>
    <w:p w14:paraId="74AE1DE7" w14:textId="77777777" w:rsidR="001C661F" w:rsidRPr="006A01B2" w:rsidRDefault="001C661F" w:rsidP="00B2265D">
      <w:pPr>
        <w:spacing w:after="0"/>
        <w:rPr>
          <w:rFonts w:ascii="Calibri" w:hAnsi="Calibri"/>
          <w:sz w:val="24"/>
          <w:szCs w:val="24"/>
        </w:rPr>
      </w:pPr>
      <w:r w:rsidRPr="006A01B2">
        <w:rPr>
          <w:rFonts w:ascii="Calibri" w:hAnsi="Calibri"/>
          <w:sz w:val="24"/>
          <w:szCs w:val="24"/>
        </w:rPr>
        <w:t>Patient listed as improving while still febrile</w:t>
      </w:r>
      <w:r w:rsidR="0044625A" w:rsidRPr="006A01B2">
        <w:rPr>
          <w:rFonts w:ascii="Calibri" w:hAnsi="Calibri"/>
          <w:sz w:val="24"/>
          <w:szCs w:val="24"/>
        </w:rPr>
        <w:t xml:space="preserve"> (T-max 102)</w:t>
      </w:r>
      <w:r w:rsidRPr="006A01B2">
        <w:rPr>
          <w:rFonts w:ascii="Calibri" w:hAnsi="Calibri"/>
          <w:sz w:val="24"/>
          <w:szCs w:val="24"/>
        </w:rPr>
        <w:t>. Surveillance cultures return</w:t>
      </w:r>
      <w:r w:rsidR="00F5320C" w:rsidRPr="006A01B2">
        <w:rPr>
          <w:rFonts w:ascii="Calibri" w:hAnsi="Calibri"/>
          <w:sz w:val="24"/>
          <w:szCs w:val="24"/>
        </w:rPr>
        <w:t>ed</w:t>
      </w:r>
      <w:r w:rsidRPr="006A01B2">
        <w:rPr>
          <w:rFonts w:ascii="Calibri" w:hAnsi="Calibri"/>
          <w:sz w:val="24"/>
          <w:szCs w:val="24"/>
        </w:rPr>
        <w:t xml:space="preserve"> negative for MRSA. Erythema and induration noted as improving with redness also improving. Culture results returned pan-sensitive beta-hemolytic group G </w:t>
      </w:r>
      <w:r w:rsidR="00FD64F5" w:rsidRPr="006A01B2">
        <w:rPr>
          <w:rFonts w:ascii="Calibri" w:hAnsi="Calibri"/>
          <w:i/>
          <w:sz w:val="24"/>
          <w:szCs w:val="24"/>
        </w:rPr>
        <w:t>Streptococcus</w:t>
      </w:r>
      <w:r w:rsidRPr="006A01B2">
        <w:rPr>
          <w:rFonts w:ascii="Calibri" w:hAnsi="Calibri"/>
          <w:sz w:val="24"/>
          <w:szCs w:val="24"/>
        </w:rPr>
        <w:t xml:space="preserve"> (GGS) at which point vancomycin and ceftriaxone were discontinued.</w:t>
      </w:r>
      <w:r w:rsidR="00FD64F5" w:rsidRPr="006A01B2">
        <w:rPr>
          <w:rFonts w:ascii="Calibri" w:hAnsi="Calibri"/>
          <w:sz w:val="24"/>
          <w:szCs w:val="24"/>
        </w:rPr>
        <w:t xml:space="preserve"> MD </w:t>
      </w:r>
      <w:r w:rsidR="00F5320C" w:rsidRPr="006A01B2">
        <w:rPr>
          <w:rFonts w:ascii="Calibri" w:hAnsi="Calibri"/>
          <w:sz w:val="24"/>
          <w:szCs w:val="24"/>
        </w:rPr>
        <w:t>requested</w:t>
      </w:r>
      <w:r w:rsidR="00FD64F5" w:rsidRPr="006A01B2">
        <w:rPr>
          <w:rFonts w:ascii="Calibri" w:hAnsi="Calibri"/>
          <w:sz w:val="24"/>
          <w:szCs w:val="24"/>
        </w:rPr>
        <w:t xml:space="preserve"> ID consultation and started penicillin G at 4-million units q4h with the option of adding clindamycin as adjunctive therapy for redness if it doesn’t improve.</w:t>
      </w:r>
    </w:p>
    <w:p w14:paraId="56BE10DE" w14:textId="77777777" w:rsidR="008655FA" w:rsidRPr="006A01B2" w:rsidRDefault="008655FA" w:rsidP="00B2265D">
      <w:pPr>
        <w:spacing w:after="0"/>
        <w:rPr>
          <w:rFonts w:ascii="Calibri" w:hAnsi="Calibri"/>
          <w:sz w:val="24"/>
          <w:szCs w:val="24"/>
        </w:rPr>
      </w:pPr>
    </w:p>
    <w:p w14:paraId="5499FF6C" w14:textId="77777777" w:rsidR="008655FA" w:rsidRPr="006A01B2" w:rsidRDefault="00FB798D" w:rsidP="00B2265D">
      <w:pPr>
        <w:spacing w:after="0"/>
        <w:rPr>
          <w:rFonts w:ascii="Calibri" w:hAnsi="Calibri"/>
          <w:sz w:val="24"/>
          <w:szCs w:val="24"/>
        </w:rPr>
      </w:pPr>
      <w:r w:rsidRPr="006A01B2">
        <w:rPr>
          <w:rFonts w:ascii="Calibri" w:hAnsi="Calibri"/>
          <w:sz w:val="24"/>
          <w:szCs w:val="24"/>
        </w:rPr>
        <w:t>Day 4</w:t>
      </w:r>
      <w:r w:rsidR="006C067A" w:rsidRPr="006A01B2">
        <w:rPr>
          <w:rFonts w:ascii="Calibri" w:hAnsi="Calibri"/>
          <w:sz w:val="24"/>
          <w:szCs w:val="24"/>
        </w:rPr>
        <w:t xml:space="preserve"> – WBC 17.7</w:t>
      </w:r>
    </w:p>
    <w:p w14:paraId="32E8A5DB" w14:textId="77777777" w:rsidR="008655FA" w:rsidRPr="006A01B2" w:rsidRDefault="006C067A" w:rsidP="00B2265D">
      <w:pPr>
        <w:spacing w:after="0"/>
        <w:rPr>
          <w:rFonts w:ascii="Calibri" w:hAnsi="Calibri"/>
          <w:sz w:val="24"/>
          <w:szCs w:val="24"/>
        </w:rPr>
      </w:pPr>
      <w:r w:rsidRPr="006A01B2">
        <w:rPr>
          <w:rFonts w:ascii="Calibri" w:hAnsi="Calibri"/>
          <w:sz w:val="24"/>
          <w:szCs w:val="24"/>
        </w:rPr>
        <w:t>Patient’s fever improved throughout previous day. ID consult again noted improved condition that shows improvement most lik</w:t>
      </w:r>
      <w:r w:rsidR="00F5320C" w:rsidRPr="006A01B2">
        <w:rPr>
          <w:rFonts w:ascii="Calibri" w:hAnsi="Calibri"/>
          <w:sz w:val="24"/>
          <w:szCs w:val="24"/>
        </w:rPr>
        <w:t>ely due to penicillin. She noted</w:t>
      </w:r>
      <w:r w:rsidRPr="006A01B2">
        <w:rPr>
          <w:rFonts w:ascii="Calibri" w:hAnsi="Calibri"/>
          <w:sz w:val="24"/>
          <w:szCs w:val="24"/>
        </w:rPr>
        <w:t xml:space="preserve"> that if the patient continues to improve, she can be discharged on oral amoxicillin-clavulanic acid for 10 days.</w:t>
      </w:r>
    </w:p>
    <w:p w14:paraId="222F914F" w14:textId="77777777" w:rsidR="006C067A" w:rsidRPr="006A01B2" w:rsidRDefault="006C067A" w:rsidP="00B2265D">
      <w:pPr>
        <w:spacing w:after="0"/>
        <w:rPr>
          <w:rFonts w:ascii="Calibri" w:hAnsi="Calibri"/>
          <w:sz w:val="24"/>
          <w:szCs w:val="24"/>
        </w:rPr>
      </w:pPr>
    </w:p>
    <w:p w14:paraId="15E659DF" w14:textId="77777777" w:rsidR="008655FA" w:rsidRPr="006A01B2" w:rsidRDefault="00FB798D" w:rsidP="00B2265D">
      <w:pPr>
        <w:spacing w:after="0"/>
        <w:rPr>
          <w:rFonts w:ascii="Calibri" w:hAnsi="Calibri"/>
          <w:sz w:val="24"/>
          <w:szCs w:val="24"/>
        </w:rPr>
      </w:pPr>
      <w:r w:rsidRPr="006A01B2">
        <w:rPr>
          <w:rFonts w:ascii="Calibri" w:hAnsi="Calibri"/>
          <w:sz w:val="24"/>
          <w:szCs w:val="24"/>
        </w:rPr>
        <w:t>Day 5</w:t>
      </w:r>
      <w:r w:rsidR="006C067A" w:rsidRPr="006A01B2">
        <w:rPr>
          <w:rFonts w:ascii="Calibri" w:hAnsi="Calibri"/>
          <w:sz w:val="24"/>
          <w:szCs w:val="24"/>
        </w:rPr>
        <w:t xml:space="preserve"> – WBC 13.8</w:t>
      </w:r>
    </w:p>
    <w:p w14:paraId="41126F24" w14:textId="77777777" w:rsidR="008655FA" w:rsidRPr="006A01B2" w:rsidRDefault="005444FC" w:rsidP="00B2265D">
      <w:pPr>
        <w:spacing w:after="0"/>
        <w:rPr>
          <w:rFonts w:ascii="Calibri" w:hAnsi="Calibri"/>
          <w:sz w:val="24"/>
          <w:szCs w:val="24"/>
        </w:rPr>
      </w:pPr>
      <w:r w:rsidRPr="006A01B2">
        <w:rPr>
          <w:rFonts w:ascii="Calibri" w:hAnsi="Calibri"/>
          <w:sz w:val="24"/>
          <w:szCs w:val="24"/>
        </w:rPr>
        <w:t>Remarkable clinical improvement noted with significant changes in the erythe</w:t>
      </w:r>
      <w:r w:rsidR="00F5320C" w:rsidRPr="006A01B2">
        <w:rPr>
          <w:rFonts w:ascii="Calibri" w:hAnsi="Calibri"/>
          <w:sz w:val="24"/>
          <w:szCs w:val="24"/>
        </w:rPr>
        <w:t>ma and induration. WBC continued</w:t>
      </w:r>
      <w:r w:rsidRPr="006A01B2">
        <w:rPr>
          <w:rFonts w:ascii="Calibri" w:hAnsi="Calibri"/>
          <w:sz w:val="24"/>
          <w:szCs w:val="24"/>
        </w:rPr>
        <w:t xml:space="preserve"> to trend down</w:t>
      </w:r>
      <w:r w:rsidR="00F5320C" w:rsidRPr="006A01B2">
        <w:rPr>
          <w:rFonts w:ascii="Calibri" w:hAnsi="Calibri"/>
          <w:sz w:val="24"/>
          <w:szCs w:val="24"/>
        </w:rPr>
        <w:t>wards</w:t>
      </w:r>
      <w:r w:rsidRPr="006A01B2">
        <w:rPr>
          <w:rFonts w:ascii="Calibri" w:hAnsi="Calibri"/>
          <w:sz w:val="24"/>
          <w:szCs w:val="24"/>
        </w:rPr>
        <w:t xml:space="preserve">. Pharmacy team recommended amoxicillin without clavulanic acid due to </w:t>
      </w:r>
      <w:r w:rsidRPr="006A01B2">
        <w:rPr>
          <w:rFonts w:ascii="Calibri" w:hAnsi="Calibri"/>
          <w:sz w:val="24"/>
          <w:szCs w:val="24"/>
        </w:rPr>
        <w:lastRenderedPageBreak/>
        <w:t xml:space="preserve">increased chances of </w:t>
      </w:r>
      <w:r w:rsidR="00124A84" w:rsidRPr="006A01B2">
        <w:rPr>
          <w:rFonts w:ascii="Calibri" w:hAnsi="Calibri"/>
          <w:sz w:val="24"/>
          <w:szCs w:val="24"/>
        </w:rPr>
        <w:t>diarrhea which was agreed upon and p</w:t>
      </w:r>
      <w:r w:rsidRPr="006A01B2">
        <w:rPr>
          <w:rFonts w:ascii="Calibri" w:hAnsi="Calibri"/>
          <w:sz w:val="24"/>
          <w:szCs w:val="24"/>
        </w:rPr>
        <w:t>lans to discharge the following day</w:t>
      </w:r>
      <w:r w:rsidR="00124A84" w:rsidRPr="006A01B2">
        <w:rPr>
          <w:rFonts w:ascii="Calibri" w:hAnsi="Calibri"/>
          <w:sz w:val="24"/>
          <w:szCs w:val="24"/>
        </w:rPr>
        <w:t xml:space="preserve"> were made</w:t>
      </w:r>
      <w:r w:rsidRPr="006A01B2">
        <w:rPr>
          <w:rFonts w:ascii="Calibri" w:hAnsi="Calibri"/>
          <w:sz w:val="24"/>
          <w:szCs w:val="24"/>
        </w:rPr>
        <w:t xml:space="preserve">. </w:t>
      </w:r>
      <w:r w:rsidR="00124A84" w:rsidRPr="006A01B2">
        <w:rPr>
          <w:rFonts w:ascii="Calibri" w:hAnsi="Calibri"/>
          <w:sz w:val="24"/>
          <w:szCs w:val="24"/>
        </w:rPr>
        <w:t>After a different hospitalist assumed care, the ID physician started the patient on clindamycin 900 mg q8h to help with redness.</w:t>
      </w:r>
    </w:p>
    <w:p w14:paraId="7B3E9B94" w14:textId="77777777" w:rsidR="008655FA" w:rsidRPr="006A01B2" w:rsidRDefault="008655FA" w:rsidP="00B2265D">
      <w:pPr>
        <w:spacing w:after="0"/>
        <w:rPr>
          <w:rFonts w:ascii="Calibri" w:hAnsi="Calibri"/>
          <w:sz w:val="24"/>
          <w:szCs w:val="24"/>
        </w:rPr>
      </w:pPr>
    </w:p>
    <w:p w14:paraId="2BE3855D" w14:textId="77777777" w:rsidR="008655FA" w:rsidRPr="006A01B2" w:rsidRDefault="00FB798D" w:rsidP="00B2265D">
      <w:pPr>
        <w:spacing w:after="0"/>
        <w:rPr>
          <w:rFonts w:ascii="Calibri" w:hAnsi="Calibri"/>
          <w:sz w:val="24"/>
          <w:szCs w:val="24"/>
        </w:rPr>
      </w:pPr>
      <w:r w:rsidRPr="006A01B2">
        <w:rPr>
          <w:rFonts w:ascii="Calibri" w:hAnsi="Calibri"/>
          <w:sz w:val="24"/>
          <w:szCs w:val="24"/>
        </w:rPr>
        <w:t>Day 6 – Discharge</w:t>
      </w:r>
    </w:p>
    <w:p w14:paraId="527FF95B" w14:textId="77777777" w:rsidR="008655FA" w:rsidRPr="006A01B2" w:rsidRDefault="005444FC" w:rsidP="00B2265D">
      <w:pPr>
        <w:spacing w:after="0"/>
        <w:rPr>
          <w:rFonts w:ascii="Calibri" w:hAnsi="Calibri"/>
          <w:sz w:val="24"/>
          <w:szCs w:val="24"/>
        </w:rPr>
      </w:pPr>
      <w:r w:rsidRPr="006A01B2">
        <w:rPr>
          <w:rFonts w:ascii="Calibri" w:hAnsi="Calibri"/>
          <w:sz w:val="24"/>
          <w:szCs w:val="24"/>
        </w:rPr>
        <w:t xml:space="preserve">Patient was discharged in stable condition with resolution of the cellulitis. </w:t>
      </w:r>
      <w:r w:rsidR="00C33EBD" w:rsidRPr="006A01B2">
        <w:rPr>
          <w:rFonts w:ascii="Calibri" w:hAnsi="Calibri"/>
          <w:sz w:val="24"/>
          <w:szCs w:val="24"/>
        </w:rPr>
        <w:t>The hospitalist discharged the patient</w:t>
      </w:r>
      <w:r w:rsidRPr="006A01B2">
        <w:rPr>
          <w:rFonts w:ascii="Calibri" w:hAnsi="Calibri"/>
          <w:sz w:val="24"/>
          <w:szCs w:val="24"/>
        </w:rPr>
        <w:t xml:space="preserve"> with </w:t>
      </w:r>
      <w:r w:rsidR="00C33EBD" w:rsidRPr="006A01B2">
        <w:rPr>
          <w:rFonts w:ascii="Calibri" w:hAnsi="Calibri"/>
          <w:sz w:val="24"/>
          <w:szCs w:val="24"/>
        </w:rPr>
        <w:t xml:space="preserve">prescriptions for </w:t>
      </w:r>
      <w:r w:rsidRPr="006A01B2">
        <w:rPr>
          <w:rFonts w:ascii="Calibri" w:hAnsi="Calibri"/>
          <w:sz w:val="24"/>
          <w:szCs w:val="24"/>
        </w:rPr>
        <w:t>amoxicillin-clavulanic acid 875 mg q12h x7 days and clindamycin 300 mg q8h x7 days.</w:t>
      </w:r>
    </w:p>
    <w:p w14:paraId="49669AC4" w14:textId="77777777" w:rsidR="006A01B2" w:rsidRPr="006A01B2" w:rsidRDefault="006A01B2" w:rsidP="006A01B2">
      <w:pPr>
        <w:spacing w:after="0"/>
        <w:rPr>
          <w:rFonts w:ascii="Calibri" w:hAnsi="Calibri"/>
          <w:sz w:val="24"/>
          <w:szCs w:val="24"/>
        </w:rPr>
      </w:pPr>
    </w:p>
    <w:p w14:paraId="6B51ED0B" w14:textId="7F3257FE" w:rsidR="005444FC" w:rsidRPr="006A01B2" w:rsidRDefault="009212D8" w:rsidP="006A01B2">
      <w:pPr>
        <w:spacing w:after="0"/>
        <w:rPr>
          <w:rFonts w:ascii="Calibri" w:hAnsi="Calibri"/>
          <w:b/>
          <w:sz w:val="24"/>
          <w:szCs w:val="24"/>
        </w:rPr>
      </w:pPr>
      <w:r w:rsidRPr="006A01B2">
        <w:rPr>
          <w:rFonts w:ascii="Calibri" w:hAnsi="Calibri"/>
          <w:b/>
          <w:sz w:val="24"/>
          <w:szCs w:val="24"/>
        </w:rPr>
        <w:t>Questions for Discussion</w:t>
      </w:r>
    </w:p>
    <w:p w14:paraId="40FFA6B2" w14:textId="77777777" w:rsidR="005444FC" w:rsidRPr="006A01B2" w:rsidRDefault="005444FC" w:rsidP="009212D8">
      <w:pPr>
        <w:pStyle w:val="ListParagraph"/>
        <w:numPr>
          <w:ilvl w:val="0"/>
          <w:numId w:val="2"/>
        </w:numPr>
        <w:spacing w:after="0"/>
        <w:rPr>
          <w:rFonts w:ascii="Calibri" w:hAnsi="Calibri"/>
          <w:sz w:val="24"/>
          <w:szCs w:val="24"/>
        </w:rPr>
      </w:pPr>
      <w:r w:rsidRPr="006A01B2">
        <w:rPr>
          <w:rFonts w:ascii="Calibri" w:hAnsi="Calibri"/>
          <w:sz w:val="24"/>
          <w:szCs w:val="24"/>
        </w:rPr>
        <w:t>Is clavulanic acid important in the treatment of GGS in the outpatient setting or would amoxicillin</w:t>
      </w:r>
      <w:r w:rsidR="00C17D89" w:rsidRPr="006A01B2">
        <w:rPr>
          <w:rFonts w:ascii="Calibri" w:hAnsi="Calibri"/>
          <w:sz w:val="24"/>
          <w:szCs w:val="24"/>
        </w:rPr>
        <w:t xml:space="preserve"> alone be an appropriate choice?</w:t>
      </w:r>
    </w:p>
    <w:p w14:paraId="2AAAE37E" w14:textId="293A07C5" w:rsidR="005444FC" w:rsidRPr="006A01B2" w:rsidRDefault="005444FC" w:rsidP="00C17D89">
      <w:pPr>
        <w:pStyle w:val="ListParagraph"/>
        <w:numPr>
          <w:ilvl w:val="0"/>
          <w:numId w:val="2"/>
        </w:numPr>
        <w:spacing w:after="0"/>
        <w:rPr>
          <w:rFonts w:ascii="Calibri" w:hAnsi="Calibri"/>
          <w:sz w:val="24"/>
          <w:szCs w:val="24"/>
        </w:rPr>
      </w:pPr>
      <w:r w:rsidRPr="006A01B2">
        <w:rPr>
          <w:rFonts w:ascii="Calibri" w:hAnsi="Calibri"/>
          <w:sz w:val="24"/>
          <w:szCs w:val="24"/>
        </w:rPr>
        <w:t xml:space="preserve">How important is the role of clindamycin in treatment of erythema due to </w:t>
      </w:r>
      <w:r w:rsidRPr="006A01B2">
        <w:rPr>
          <w:rFonts w:ascii="Calibri" w:hAnsi="Calibri"/>
          <w:i/>
          <w:sz w:val="24"/>
          <w:szCs w:val="24"/>
        </w:rPr>
        <w:t>Streptococcus</w:t>
      </w:r>
      <w:r w:rsidR="00124A84" w:rsidRPr="006A01B2">
        <w:rPr>
          <w:rFonts w:ascii="Calibri" w:hAnsi="Calibri"/>
          <w:sz w:val="24"/>
          <w:szCs w:val="24"/>
        </w:rPr>
        <w:t>?</w:t>
      </w:r>
    </w:p>
    <w:p w14:paraId="3248D664" w14:textId="51246CB3" w:rsidR="006A01B2" w:rsidRPr="006A01B2" w:rsidRDefault="006A01B2" w:rsidP="61D98ACF">
      <w:pPr>
        <w:spacing w:after="0"/>
        <w:rPr>
          <w:rFonts w:ascii="Calibri" w:hAnsi="Calibri"/>
          <w:sz w:val="24"/>
          <w:szCs w:val="24"/>
        </w:rPr>
      </w:pPr>
    </w:p>
    <w:p w14:paraId="246AC108" w14:textId="2E7C2746" w:rsidR="006A01B2" w:rsidRPr="006A01B2" w:rsidRDefault="006A01B2" w:rsidP="006A01B2">
      <w:pPr>
        <w:spacing w:after="0"/>
        <w:rPr>
          <w:rFonts w:ascii="Calibri" w:hAnsi="Calibri"/>
          <w:sz w:val="24"/>
          <w:szCs w:val="24"/>
        </w:rPr>
      </w:pPr>
    </w:p>
    <w:p w14:paraId="2990B073" w14:textId="77777777" w:rsidR="006A01B2" w:rsidRPr="006A01B2" w:rsidRDefault="730C540E" w:rsidP="006A01B2">
      <w:pPr>
        <w:rPr>
          <w:rFonts w:ascii="Calibri" w:eastAsiaTheme="majorEastAsia" w:hAnsi="Calibri" w:cstheme="majorBidi"/>
          <w:color w:val="000000" w:themeColor="text1"/>
          <w:sz w:val="24"/>
          <w:szCs w:val="24"/>
        </w:rPr>
      </w:pPr>
      <w:r w:rsidRPr="730C540E">
        <w:rPr>
          <w:rFonts w:ascii="Calibri" w:eastAsiaTheme="majorEastAsia" w:hAnsi="Calibri" w:cstheme="majorBidi"/>
          <w:color w:val="000000" w:themeColor="text1"/>
          <w:sz w:val="24"/>
          <w:szCs w:val="24"/>
        </w:rPr>
        <w:t xml:space="preserve">UW TASP Recommendations: </w:t>
      </w:r>
    </w:p>
    <w:p w14:paraId="35202B87" w14:textId="3F32F94A" w:rsidR="730C540E" w:rsidRDefault="730C540E" w:rsidP="730C540E">
      <w:pPr>
        <w:rPr>
          <w:rFonts w:ascii="Calibri" w:hAnsi="Calibri"/>
          <w:sz w:val="24"/>
          <w:szCs w:val="24"/>
        </w:rPr>
      </w:pPr>
      <w:r w:rsidRPr="730C540E">
        <w:rPr>
          <w:rFonts w:ascii="Calibri" w:hAnsi="Calibri"/>
          <w:sz w:val="24"/>
          <w:szCs w:val="24"/>
        </w:rPr>
        <w:t xml:space="preserve">Group G and group C strep are both from the same species: </w:t>
      </w:r>
      <w:r w:rsidRPr="730C540E">
        <w:rPr>
          <w:rFonts w:ascii="Calibri" w:hAnsi="Calibri"/>
          <w:i/>
          <w:iCs/>
          <w:sz w:val="24"/>
          <w:szCs w:val="24"/>
        </w:rPr>
        <w:t xml:space="preserve">Streptococcus dysgalactiae </w:t>
      </w:r>
      <w:r w:rsidRPr="730C540E">
        <w:rPr>
          <w:rFonts w:ascii="Calibri" w:hAnsi="Calibri"/>
          <w:sz w:val="24"/>
          <w:szCs w:val="24"/>
        </w:rPr>
        <w:t>subsp. e</w:t>
      </w:r>
      <w:r w:rsidRPr="730C540E">
        <w:rPr>
          <w:rFonts w:ascii="Calibri" w:hAnsi="Calibri"/>
          <w:i/>
          <w:iCs/>
          <w:sz w:val="24"/>
          <w:szCs w:val="24"/>
        </w:rPr>
        <w:t xml:space="preserve">quisimilis. </w:t>
      </w:r>
      <w:r w:rsidRPr="730C540E">
        <w:rPr>
          <w:rFonts w:ascii="Calibri" w:hAnsi="Calibri"/>
          <w:sz w:val="24"/>
          <w:szCs w:val="24"/>
        </w:rPr>
        <w:t xml:space="preserve">This species is beta-hemolytic, like GAS, and like GAS, can be a colonizer or pathogen. It can cause pharyngitis, bacteremia, septic arthritis, osteomyelitis, meningitis, and many other infections. Like GAS, GGS can contain a virulence factors including the antiphagocytic M protein, streptolysin O, streptolysin S, streptokinase, and exotoxins.  </w:t>
      </w:r>
    </w:p>
    <w:p w14:paraId="0D5384D6" w14:textId="2DF5AAFB" w:rsidR="61D98ACF" w:rsidRDefault="730C540E" w:rsidP="730C540E">
      <w:pPr>
        <w:spacing w:after="0"/>
        <w:rPr>
          <w:rFonts w:ascii="Calibri" w:hAnsi="Calibri"/>
          <w:sz w:val="24"/>
          <w:szCs w:val="24"/>
        </w:rPr>
      </w:pPr>
      <w:r w:rsidRPr="730C540E">
        <w:rPr>
          <w:rFonts w:ascii="Calibri" w:hAnsi="Calibri"/>
          <w:sz w:val="24"/>
          <w:szCs w:val="24"/>
        </w:rPr>
        <w:t>Clavulanic acid is not needed for the treatment of Group G strep - amoxicillin alone is sufficient.  Beta-lactamase inhibitors (BLIs - clavulanate, tazobactam, sulbactam) prevent drug degradation by beta-lactamases most commonly found in Gram- negative organisms. The addition of clavulanic acid to amoxicillin enhances enteric Gram-negative coverage and anaerobe activity but does not increase coverage for strep (or Gram-positive bacteria) in general.  The risk of diarrhea and dysbiosis is also higher with the addition of clavulanic acid.  Our recommendation is to avoid using a BL-BLI combination when a beta-lactam alone provides coverage. Some clinicians like amox-clav due to ease of dosing, but amoxicillin can be given TID so only adds one additional dose per day.</w:t>
      </w:r>
    </w:p>
    <w:p w14:paraId="46816589" w14:textId="781E37AE" w:rsidR="61D98ACF" w:rsidRDefault="730C540E" w:rsidP="730C540E">
      <w:pPr>
        <w:spacing w:after="0"/>
        <w:rPr>
          <w:rFonts w:ascii="Calibri" w:hAnsi="Calibri"/>
          <w:sz w:val="24"/>
          <w:szCs w:val="24"/>
        </w:rPr>
      </w:pPr>
      <w:r w:rsidRPr="730C540E">
        <w:rPr>
          <w:rFonts w:ascii="Calibri" w:hAnsi="Calibri"/>
          <w:sz w:val="24"/>
          <w:szCs w:val="24"/>
        </w:rPr>
        <w:t>Penicillin and clindamycin in combination are recommended for necrotizing fasciitis due to group A strep (GAS) and clostridial gas gangrene or myonecrosis [1].   Although Group A strep is universally susceptible to penicillin, these deep infections involve the fascial and/or muscle compartments and can potentially lead to life threatening toxic shock syndrome as a complication from invasive group A strep. Clindamycin can suppress streptococcal toxin and cytokine production and inhibits bacterial protein synthesis in addition to the inhibition of cell wall synthesis of penicillin. The increasing profile of GAS resistance to clindamycin is a concern.  The role of the combination of penicillin and clindamycin is not well-established outside of invasive Group A strep infections.</w:t>
      </w:r>
    </w:p>
    <w:p w14:paraId="1D064B60" w14:textId="21E4515E" w:rsidR="61D98ACF" w:rsidRDefault="61D98ACF" w:rsidP="730C540E">
      <w:pPr>
        <w:rPr>
          <w:rFonts w:ascii="Calibri" w:eastAsiaTheme="majorEastAsia" w:hAnsi="Calibri" w:cstheme="majorBidi"/>
          <w:color w:val="000000" w:themeColor="text1"/>
          <w:sz w:val="24"/>
          <w:szCs w:val="24"/>
        </w:rPr>
      </w:pPr>
    </w:p>
    <w:p w14:paraId="115C88D1" w14:textId="47132257" w:rsidR="730C540E" w:rsidRDefault="730C540E" w:rsidP="730C540E">
      <w:pPr>
        <w:rPr>
          <w:rFonts w:ascii="Calibri" w:eastAsiaTheme="majorEastAsia" w:hAnsi="Calibri" w:cstheme="majorBidi"/>
          <w:color w:val="000000" w:themeColor="text1"/>
          <w:sz w:val="24"/>
          <w:szCs w:val="24"/>
        </w:rPr>
      </w:pPr>
      <w:r w:rsidRPr="730C540E">
        <w:rPr>
          <w:rFonts w:ascii="Calibri" w:eastAsiaTheme="majorEastAsia" w:hAnsi="Calibri" w:cstheme="majorBidi"/>
          <w:color w:val="000000" w:themeColor="text1"/>
          <w:sz w:val="24"/>
          <w:szCs w:val="24"/>
        </w:rPr>
        <w:t>REFERENCE:</w:t>
      </w:r>
    </w:p>
    <w:p w14:paraId="6553BFDF" w14:textId="0757099B" w:rsidR="730C540E" w:rsidRDefault="730C540E" w:rsidP="730C540E">
      <w:pPr>
        <w:pStyle w:val="ListParagraph"/>
        <w:numPr>
          <w:ilvl w:val="0"/>
          <w:numId w:val="1"/>
        </w:numPr>
        <w:rPr>
          <w:color w:val="000000" w:themeColor="text1"/>
        </w:rPr>
      </w:pPr>
      <w:r w:rsidRPr="730C540E">
        <w:rPr>
          <w:rFonts w:ascii="Calibri" w:eastAsiaTheme="majorEastAsia" w:hAnsi="Calibri" w:cstheme="majorBidi"/>
          <w:color w:val="000000" w:themeColor="text1"/>
          <w:sz w:val="24"/>
          <w:szCs w:val="24"/>
        </w:rPr>
        <w:t>Stevens DL, et al. Practice guidelines for the diagnosis and management of skin and soft tissue infections: 2014 update by the Infectious Disease Society of America. Clin Infect Dis 2014</w:t>
      </w:r>
      <w:r w:rsidRPr="730C540E">
        <w:t>15;59(2):e10-52.</w:t>
      </w:r>
    </w:p>
    <w:p w14:paraId="06356B95" w14:textId="34748708" w:rsidR="730C540E" w:rsidRDefault="730C540E" w:rsidP="730C540E">
      <w:pPr>
        <w:ind w:left="360"/>
      </w:pPr>
    </w:p>
    <w:p w14:paraId="62D30979" w14:textId="24796195"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color w:val="000000" w:themeColor="text1"/>
          <w:sz w:val="24"/>
          <w:szCs w:val="24"/>
        </w:rPr>
        <w:t>On behalf of the UW TASP Specialist Team:  </w:t>
      </w:r>
      <w:r w:rsidRPr="730C540E">
        <w:rPr>
          <w:rFonts w:ascii="Calibri" w:eastAsia="Calibri" w:hAnsi="Calibri" w:cs="Calibri"/>
          <w:sz w:val="24"/>
          <w:szCs w:val="24"/>
        </w:rPr>
        <w:t>  </w:t>
      </w:r>
    </w:p>
    <w:p w14:paraId="75620F79" w14:textId="3BD83079"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sz w:val="24"/>
          <w:szCs w:val="24"/>
        </w:rPr>
        <w:t>  </w:t>
      </w:r>
    </w:p>
    <w:p w14:paraId="223CE826" w14:textId="71B8C540"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i/>
          <w:iCs/>
          <w:color w:val="000000" w:themeColor="text1"/>
          <w:sz w:val="24"/>
          <w:szCs w:val="24"/>
        </w:rPr>
        <w:t>John Lynch, MD MPH</w:t>
      </w:r>
      <w:r w:rsidRPr="730C540E">
        <w:rPr>
          <w:rFonts w:ascii="Calibri" w:eastAsia="Calibri" w:hAnsi="Calibri" w:cs="Calibri"/>
          <w:sz w:val="24"/>
          <w:szCs w:val="24"/>
        </w:rPr>
        <w:t>  </w:t>
      </w:r>
    </w:p>
    <w:p w14:paraId="356F1ED5" w14:textId="7DE7BF8E"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i/>
          <w:iCs/>
          <w:color w:val="000000" w:themeColor="text1"/>
          <w:sz w:val="24"/>
          <w:szCs w:val="24"/>
        </w:rPr>
        <w:t>Chloe Bryson-Cahn, MD</w:t>
      </w:r>
      <w:r w:rsidRPr="730C540E">
        <w:rPr>
          <w:rFonts w:ascii="Calibri" w:eastAsia="Calibri" w:hAnsi="Calibri" w:cs="Calibri"/>
          <w:sz w:val="24"/>
          <w:szCs w:val="24"/>
        </w:rPr>
        <w:t>  </w:t>
      </w:r>
    </w:p>
    <w:p w14:paraId="7D39E34D" w14:textId="54395CBB"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i/>
          <w:iCs/>
          <w:color w:val="000000" w:themeColor="text1"/>
          <w:sz w:val="24"/>
          <w:szCs w:val="24"/>
        </w:rPr>
        <w:t>Jeannie Chan, PharmD</w:t>
      </w:r>
      <w:r w:rsidRPr="730C540E">
        <w:rPr>
          <w:rFonts w:ascii="Calibri" w:eastAsia="Calibri" w:hAnsi="Calibri" w:cs="Calibri"/>
          <w:sz w:val="24"/>
          <w:szCs w:val="24"/>
        </w:rPr>
        <w:t>  </w:t>
      </w:r>
    </w:p>
    <w:p w14:paraId="3859D00E" w14:textId="647BEB86"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i/>
          <w:iCs/>
          <w:color w:val="000000" w:themeColor="text1"/>
          <w:sz w:val="24"/>
          <w:szCs w:val="24"/>
        </w:rPr>
        <w:t>Zahra Kassamali Escobar, PharmD</w:t>
      </w:r>
      <w:r w:rsidRPr="730C540E">
        <w:rPr>
          <w:rFonts w:ascii="Calibri" w:eastAsia="Calibri" w:hAnsi="Calibri" w:cs="Calibri"/>
          <w:sz w:val="24"/>
          <w:szCs w:val="24"/>
        </w:rPr>
        <w:t>  </w:t>
      </w:r>
    </w:p>
    <w:p w14:paraId="256555E3" w14:textId="10464F8B"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i/>
          <w:iCs/>
          <w:color w:val="000000" w:themeColor="text1"/>
          <w:sz w:val="24"/>
          <w:szCs w:val="24"/>
        </w:rPr>
        <w:t>Rupali Jain, PharmD</w:t>
      </w:r>
      <w:r w:rsidRPr="730C540E">
        <w:rPr>
          <w:rFonts w:ascii="Calibri" w:eastAsia="Calibri" w:hAnsi="Calibri" w:cs="Calibri"/>
          <w:sz w:val="24"/>
          <w:szCs w:val="24"/>
        </w:rPr>
        <w:t>  </w:t>
      </w:r>
    </w:p>
    <w:p w14:paraId="2F844FC5" w14:textId="61577A23"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i/>
          <w:iCs/>
          <w:color w:val="000000" w:themeColor="text1"/>
          <w:sz w:val="24"/>
          <w:szCs w:val="24"/>
        </w:rPr>
        <w:t>Paul Pottinger, MD FIDSA</w:t>
      </w:r>
      <w:r w:rsidRPr="730C540E">
        <w:rPr>
          <w:rFonts w:ascii="Calibri" w:eastAsia="Calibri" w:hAnsi="Calibri" w:cs="Calibri"/>
          <w:sz w:val="24"/>
          <w:szCs w:val="24"/>
        </w:rPr>
        <w:t>  </w:t>
      </w:r>
    </w:p>
    <w:p w14:paraId="20F9DFC0" w14:textId="70267648" w:rsidR="730C540E" w:rsidRDefault="730C540E" w:rsidP="730C540E">
      <w:pPr>
        <w:spacing w:beforeAutospacing="1" w:afterAutospacing="1" w:line="240" w:lineRule="auto"/>
        <w:rPr>
          <w:rFonts w:ascii="Calibri" w:eastAsia="Calibri" w:hAnsi="Calibri" w:cs="Calibri"/>
          <w:sz w:val="24"/>
          <w:szCs w:val="24"/>
        </w:rPr>
      </w:pPr>
      <w:r w:rsidRPr="730C540E">
        <w:rPr>
          <w:rFonts w:ascii="Calibri" w:eastAsia="Calibri" w:hAnsi="Calibri" w:cs="Calibri"/>
          <w:sz w:val="24"/>
          <w:szCs w:val="24"/>
        </w:rPr>
        <w:t>  </w:t>
      </w:r>
    </w:p>
    <w:p w14:paraId="6E919A57" w14:textId="364F1A5D" w:rsidR="730C540E" w:rsidRDefault="730C540E" w:rsidP="730C540E">
      <w:pPr>
        <w:spacing w:beforeAutospacing="1" w:afterAutospacing="1" w:line="240" w:lineRule="auto"/>
        <w:rPr>
          <w:rFonts w:ascii="Calibri" w:eastAsia="Calibri" w:hAnsi="Calibri" w:cs="Calibri"/>
          <w:sz w:val="20"/>
          <w:szCs w:val="20"/>
        </w:rPr>
      </w:pPr>
      <w:r w:rsidRPr="730C540E">
        <w:rPr>
          <w:rFonts w:ascii="Calibri" w:eastAsia="Calibri" w:hAnsi="Calibri" w:cs="Calibri"/>
          <w:color w:val="000000" w:themeColor="text1"/>
          <w:sz w:val="20"/>
          <w:szCs w:val="20"/>
        </w:rPr>
        <w:t>PLEASE NOTE that UW TASP case consultations do </w:t>
      </w:r>
      <w:r w:rsidRPr="730C540E">
        <w:rPr>
          <w:rFonts w:ascii="Calibri" w:eastAsia="Calibri" w:hAnsi="Calibri" w:cs="Calibri"/>
          <w:color w:val="000000" w:themeColor="text1"/>
          <w:sz w:val="20"/>
          <w:szCs w:val="20"/>
          <w:u w:val="single"/>
        </w:rPr>
        <w:t>not</w:t>
      </w:r>
      <w:r w:rsidRPr="730C540E">
        <w:rPr>
          <w:rFonts w:ascii="Calibri" w:eastAsia="Calibri" w:hAnsi="Calibri" w:cs="Calibri"/>
          <w:color w:val="000000" w:themeColor="text1"/>
          <w:sz w:val="20"/>
          <w:szCs w:val="20"/>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sidRPr="730C540E">
        <w:rPr>
          <w:rFonts w:ascii="Calibri" w:eastAsia="Calibri" w:hAnsi="Calibri" w:cs="Calibri"/>
          <w:sz w:val="20"/>
          <w:szCs w:val="20"/>
        </w:rPr>
        <w:t> </w:t>
      </w:r>
    </w:p>
    <w:p w14:paraId="607980B1" w14:textId="5572C768" w:rsidR="730C540E" w:rsidRDefault="730C540E" w:rsidP="730C540E">
      <w:pPr>
        <w:rPr>
          <w:rFonts w:ascii="Calibri" w:eastAsia="Calibri" w:hAnsi="Calibri" w:cs="Calibri"/>
        </w:rPr>
      </w:pPr>
    </w:p>
    <w:p w14:paraId="78029D95" w14:textId="7C73D259" w:rsidR="730C540E" w:rsidRDefault="730C540E" w:rsidP="730C540E">
      <w:pPr>
        <w:ind w:left="360"/>
        <w:rPr>
          <w:rFonts w:ascii="Calibri" w:eastAsiaTheme="majorEastAsia" w:hAnsi="Calibri" w:cstheme="majorBidi"/>
          <w:color w:val="000000" w:themeColor="text1"/>
          <w:sz w:val="24"/>
          <w:szCs w:val="24"/>
        </w:rPr>
      </w:pPr>
    </w:p>
    <w:p w14:paraId="6BFB7A53" w14:textId="77777777" w:rsidR="006A01B2" w:rsidRPr="006A01B2" w:rsidRDefault="006A01B2" w:rsidP="006A01B2">
      <w:pPr>
        <w:spacing w:after="0"/>
        <w:rPr>
          <w:sz w:val="21"/>
          <w:szCs w:val="21"/>
        </w:rPr>
      </w:pPr>
    </w:p>
    <w:sectPr w:rsidR="006A01B2" w:rsidRPr="006A01B2" w:rsidSect="00B26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51E32"/>
    <w:multiLevelType w:val="hybridMultilevel"/>
    <w:tmpl w:val="3AB6E868"/>
    <w:lvl w:ilvl="0" w:tplc="424A8E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771AB"/>
    <w:multiLevelType w:val="hybridMultilevel"/>
    <w:tmpl w:val="F85A51FC"/>
    <w:lvl w:ilvl="0" w:tplc="BE961768">
      <w:start w:val="1"/>
      <w:numFmt w:val="decimal"/>
      <w:lvlText w:val="%1."/>
      <w:lvlJc w:val="left"/>
      <w:pPr>
        <w:ind w:left="720" w:hanging="360"/>
      </w:pPr>
    </w:lvl>
    <w:lvl w:ilvl="1" w:tplc="442A725C">
      <w:start w:val="1"/>
      <w:numFmt w:val="lowerLetter"/>
      <w:lvlText w:val="%2."/>
      <w:lvlJc w:val="left"/>
      <w:pPr>
        <w:ind w:left="1440" w:hanging="360"/>
      </w:pPr>
    </w:lvl>
    <w:lvl w:ilvl="2" w:tplc="A0009E48">
      <w:start w:val="1"/>
      <w:numFmt w:val="lowerRoman"/>
      <w:lvlText w:val="%3."/>
      <w:lvlJc w:val="right"/>
      <w:pPr>
        <w:ind w:left="2160" w:hanging="180"/>
      </w:pPr>
    </w:lvl>
    <w:lvl w:ilvl="3" w:tplc="A948D90A">
      <w:start w:val="1"/>
      <w:numFmt w:val="decimal"/>
      <w:lvlText w:val="%4."/>
      <w:lvlJc w:val="left"/>
      <w:pPr>
        <w:ind w:left="2880" w:hanging="360"/>
      </w:pPr>
    </w:lvl>
    <w:lvl w:ilvl="4" w:tplc="0CBA7680">
      <w:start w:val="1"/>
      <w:numFmt w:val="lowerLetter"/>
      <w:lvlText w:val="%5."/>
      <w:lvlJc w:val="left"/>
      <w:pPr>
        <w:ind w:left="3600" w:hanging="360"/>
      </w:pPr>
    </w:lvl>
    <w:lvl w:ilvl="5" w:tplc="AF6AE522">
      <w:start w:val="1"/>
      <w:numFmt w:val="lowerRoman"/>
      <w:lvlText w:val="%6."/>
      <w:lvlJc w:val="right"/>
      <w:pPr>
        <w:ind w:left="4320" w:hanging="180"/>
      </w:pPr>
    </w:lvl>
    <w:lvl w:ilvl="6" w:tplc="F4E6C238">
      <w:start w:val="1"/>
      <w:numFmt w:val="decimal"/>
      <w:lvlText w:val="%7."/>
      <w:lvlJc w:val="left"/>
      <w:pPr>
        <w:ind w:left="5040" w:hanging="360"/>
      </w:pPr>
    </w:lvl>
    <w:lvl w:ilvl="7" w:tplc="53401F4C">
      <w:start w:val="1"/>
      <w:numFmt w:val="lowerLetter"/>
      <w:lvlText w:val="%8."/>
      <w:lvlJc w:val="left"/>
      <w:pPr>
        <w:ind w:left="5760" w:hanging="360"/>
      </w:pPr>
    </w:lvl>
    <w:lvl w:ilvl="8" w:tplc="F91EB446">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5D"/>
    <w:rsid w:val="0007654A"/>
    <w:rsid w:val="00105DB0"/>
    <w:rsid w:val="00124A84"/>
    <w:rsid w:val="001C661F"/>
    <w:rsid w:val="0044625A"/>
    <w:rsid w:val="005444FC"/>
    <w:rsid w:val="005F4448"/>
    <w:rsid w:val="00604AAE"/>
    <w:rsid w:val="0069607C"/>
    <w:rsid w:val="006A01B2"/>
    <w:rsid w:val="006C067A"/>
    <w:rsid w:val="007F035C"/>
    <w:rsid w:val="008655FA"/>
    <w:rsid w:val="009212D8"/>
    <w:rsid w:val="00B2265D"/>
    <w:rsid w:val="00B268B6"/>
    <w:rsid w:val="00C17D89"/>
    <w:rsid w:val="00C33EBD"/>
    <w:rsid w:val="00C61BA7"/>
    <w:rsid w:val="00F5320C"/>
    <w:rsid w:val="00FB798D"/>
    <w:rsid w:val="00FD64F5"/>
    <w:rsid w:val="4F66C1B9"/>
    <w:rsid w:val="61D98ACF"/>
    <w:rsid w:val="730C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5D4B"/>
  <w15:chartTrackingRefBased/>
  <w15:docId w15:val="{BB2D3A59-DF0A-4443-A6D4-6F1D3A54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4FC"/>
    <w:pPr>
      <w:ind w:left="720"/>
      <w:contextualSpacing/>
    </w:pPr>
  </w:style>
  <w:style w:type="paragraph" w:styleId="BalloonText">
    <w:name w:val="Balloon Text"/>
    <w:basedOn w:val="Normal"/>
    <w:link w:val="BalloonTextChar"/>
    <w:uiPriority w:val="99"/>
    <w:semiHidden/>
    <w:unhideWhenUsed/>
    <w:rsid w:val="00921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6" ma:contentTypeDescription="Create a new document." ma:contentTypeScope="" ma:versionID="fde942e2577b13d8b158bc44dcb3ecce">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74474b093c4c2dcc5b1a1ffdd869e9fb"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AB60E-DC98-4008-8760-DA004DAF499E}">
  <ds:schemaRefs>
    <ds:schemaRef ds:uri="http://schemas.microsoft.com/sharepoint/v3/contenttype/forms"/>
  </ds:schemaRefs>
</ds:datastoreItem>
</file>

<file path=customXml/itemProps2.xml><?xml version="1.0" encoding="utf-8"?>
<ds:datastoreItem xmlns:ds="http://schemas.openxmlformats.org/officeDocument/2006/customXml" ds:itemID="{54741E9B-6A6F-4D36-AE26-D806E6609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F6EB4-2EEB-468A-B77B-4F94FFA492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5060</Characters>
  <Application>Microsoft Office Word</Application>
  <DocSecurity>0</DocSecurity>
  <Lines>42</Lines>
  <Paragraphs>11</Paragraphs>
  <ScaleCrop>false</ScaleCrop>
  <Company>Astria Health</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Oconnor</dc:creator>
  <cp:keywords/>
  <dc:description/>
  <cp:lastModifiedBy>Natalia Martinez-Paz</cp:lastModifiedBy>
  <cp:revision>2</cp:revision>
  <cp:lastPrinted>2019-06-13T19:19:00Z</cp:lastPrinted>
  <dcterms:created xsi:type="dcterms:W3CDTF">2019-06-18T21:34:00Z</dcterms:created>
  <dcterms:modified xsi:type="dcterms:W3CDTF">2019-06-18T21:34:00Z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