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347D6" w14:textId="77777777" w:rsidR="003F6EE3" w:rsidRDefault="003F6EE3" w:rsidP="003F6EE3">
      <w:pPr>
        <w:jc w:val="center"/>
      </w:pPr>
      <w:r>
        <w:rPr>
          <w:noProof/>
        </w:rPr>
        <w:drawing>
          <wp:anchor distT="0" distB="0" distL="114300" distR="114300" simplePos="0" relativeHeight="251659264" behindDoc="0" locked="0" layoutInCell="1" allowOverlap="1" wp14:anchorId="7BAB6B70" wp14:editId="424E8F00">
            <wp:simplePos x="0" y="0"/>
            <wp:positionH relativeFrom="margin">
              <wp:posOffset>1731645</wp:posOffset>
            </wp:positionH>
            <wp:positionV relativeFrom="margin">
              <wp:posOffset>-504730</wp:posOffset>
            </wp:positionV>
            <wp:extent cx="2514600" cy="754380"/>
            <wp:effectExtent l="0" t="0" r="0" b="0"/>
            <wp:wrapSquare wrapText="bothSides"/>
            <wp:docPr id="303801434" name="Picture 30380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14600" cy="754380"/>
                    </a:xfrm>
                    <a:prstGeom prst="rect">
                      <a:avLst/>
                    </a:prstGeom>
                  </pic:spPr>
                </pic:pic>
              </a:graphicData>
            </a:graphic>
          </wp:anchor>
        </w:drawing>
      </w:r>
    </w:p>
    <w:p w14:paraId="4D89C34E" w14:textId="707E7CC9" w:rsidR="5B6BEE08" w:rsidRDefault="5B6BEE08" w:rsidP="5B6BEE08">
      <w:pPr>
        <w:jc w:val="center"/>
      </w:pPr>
    </w:p>
    <w:p w14:paraId="275C421F" w14:textId="12CB9EDD" w:rsidR="5B6BEE08" w:rsidRDefault="5B6BEE08" w:rsidP="5B6BEE08">
      <w:pPr>
        <w:jc w:val="center"/>
      </w:pPr>
    </w:p>
    <w:p w14:paraId="2E679AA2" w14:textId="57759EDE" w:rsidR="003F6EE3" w:rsidRPr="00D31AEA" w:rsidRDefault="003F6EE3" w:rsidP="003F6EE3">
      <w:pPr>
        <w:rPr>
          <w:rFonts w:asciiTheme="majorHAnsi" w:eastAsiaTheme="majorEastAsia" w:hAnsiTheme="majorHAnsi" w:cstheme="majorBidi"/>
          <w:b/>
          <w:bCs/>
          <w:color w:val="000000" w:themeColor="text1"/>
          <w:sz w:val="32"/>
          <w:szCs w:val="32"/>
        </w:rPr>
      </w:pPr>
      <w:r w:rsidRPr="00D31AEA">
        <w:rPr>
          <w:rFonts w:asciiTheme="majorHAnsi" w:eastAsiaTheme="majorEastAsia" w:hAnsiTheme="majorHAnsi" w:cstheme="majorBidi"/>
          <w:b/>
          <w:bCs/>
          <w:sz w:val="32"/>
          <w:szCs w:val="32"/>
        </w:rPr>
        <w:t xml:space="preserve">Hospital: </w:t>
      </w:r>
      <w:r w:rsidR="00846EF5">
        <w:rPr>
          <w:rFonts w:asciiTheme="majorHAnsi" w:eastAsiaTheme="majorEastAsia" w:hAnsiTheme="majorHAnsi" w:cstheme="majorBidi"/>
          <w:b/>
          <w:bCs/>
          <w:sz w:val="32"/>
          <w:szCs w:val="32"/>
        </w:rPr>
        <w:t xml:space="preserve">Bonner General (Sandpoint, ID) </w:t>
      </w:r>
    </w:p>
    <w:p w14:paraId="57A4140A" w14:textId="1B4EE120" w:rsidR="003F6EE3" w:rsidRPr="00D31AEA" w:rsidRDefault="003F6EE3" w:rsidP="003F6EE3">
      <w:pPr>
        <w:rPr>
          <w:rFonts w:asciiTheme="majorHAnsi" w:eastAsiaTheme="majorEastAsia" w:hAnsiTheme="majorHAnsi" w:cstheme="majorBidi"/>
          <w:b/>
          <w:bCs/>
          <w:color w:val="000000" w:themeColor="text1"/>
          <w:sz w:val="32"/>
          <w:szCs w:val="32"/>
        </w:rPr>
      </w:pPr>
      <w:r w:rsidRPr="00D31AEA">
        <w:rPr>
          <w:rFonts w:asciiTheme="majorHAnsi" w:eastAsiaTheme="majorEastAsia" w:hAnsiTheme="majorHAnsi" w:cstheme="majorBidi"/>
          <w:b/>
          <w:bCs/>
          <w:sz w:val="32"/>
          <w:szCs w:val="32"/>
        </w:rPr>
        <w:t xml:space="preserve">Presenter: </w:t>
      </w:r>
      <w:r w:rsidR="00846EF5">
        <w:rPr>
          <w:rFonts w:asciiTheme="majorHAnsi" w:eastAsiaTheme="majorEastAsia" w:hAnsiTheme="majorHAnsi" w:cstheme="majorBidi"/>
          <w:b/>
          <w:bCs/>
          <w:sz w:val="32"/>
          <w:szCs w:val="32"/>
        </w:rPr>
        <w:t xml:space="preserve">Kathy Trosin </w:t>
      </w:r>
      <w:r w:rsidR="00846EF5">
        <w:rPr>
          <w:rFonts w:asciiTheme="majorHAnsi" w:eastAsiaTheme="majorEastAsia" w:hAnsiTheme="majorHAnsi" w:cstheme="majorBidi"/>
          <w:b/>
          <w:bCs/>
          <w:sz w:val="32"/>
          <w:szCs w:val="32"/>
        </w:rPr>
        <w:tab/>
      </w:r>
    </w:p>
    <w:p w14:paraId="4CA19FA5" w14:textId="7DB9045F" w:rsidR="003F6EE3" w:rsidRDefault="5B6BEE08" w:rsidP="5B6BEE08">
      <w:pPr>
        <w:rPr>
          <w:rFonts w:asciiTheme="majorHAnsi" w:eastAsiaTheme="majorEastAsia" w:hAnsiTheme="majorHAnsi" w:cstheme="majorBidi"/>
          <w:b/>
          <w:bCs/>
          <w:color w:val="000000" w:themeColor="text1"/>
          <w:sz w:val="24"/>
          <w:szCs w:val="24"/>
        </w:rPr>
      </w:pPr>
      <w:r w:rsidRPr="5B6BEE08">
        <w:rPr>
          <w:rFonts w:asciiTheme="majorHAnsi" w:eastAsiaTheme="majorEastAsia" w:hAnsiTheme="majorHAnsi" w:cstheme="majorBidi"/>
          <w:b/>
          <w:bCs/>
          <w:color w:val="000000" w:themeColor="text1"/>
          <w:sz w:val="24"/>
          <w:szCs w:val="24"/>
        </w:rPr>
        <w:t xml:space="preserve">Question/case summary: </w:t>
      </w:r>
    </w:p>
    <w:p w14:paraId="6F7658E0" w14:textId="44DD98DF" w:rsidR="003F6EE3" w:rsidRDefault="5B6BEE08" w:rsidP="5B6BEE08">
      <w:pPr>
        <w:rPr>
          <w:rFonts w:asciiTheme="majorHAnsi" w:eastAsiaTheme="majorEastAsia" w:hAnsiTheme="majorHAnsi" w:cstheme="majorBidi"/>
          <w:color w:val="000000" w:themeColor="text1"/>
          <w:sz w:val="24"/>
          <w:szCs w:val="24"/>
        </w:rPr>
      </w:pPr>
      <w:r w:rsidRPr="5B6BEE08">
        <w:rPr>
          <w:rFonts w:asciiTheme="majorHAnsi" w:eastAsiaTheme="majorEastAsia" w:hAnsiTheme="majorHAnsi" w:cstheme="majorBidi"/>
          <w:color w:val="000000" w:themeColor="text1"/>
          <w:sz w:val="24"/>
          <w:szCs w:val="24"/>
        </w:rPr>
        <w:t>Pregnant woman with recurrent trichomoniasis. S/p treatment with single dose of metronidazole, did well for a short time then rec</w:t>
      </w:r>
      <w:bookmarkStart w:id="0" w:name="_GoBack"/>
      <w:bookmarkEnd w:id="0"/>
      <w:r w:rsidRPr="5B6BEE08">
        <w:rPr>
          <w:rFonts w:asciiTheme="majorHAnsi" w:eastAsiaTheme="majorEastAsia" w:hAnsiTheme="majorHAnsi" w:cstheme="majorBidi"/>
          <w:color w:val="000000" w:themeColor="text1"/>
          <w:sz w:val="24"/>
          <w:szCs w:val="24"/>
        </w:rPr>
        <w:t xml:space="preserve">urred. Sexual partner was also treated (asymptomatic). Is there a problem with drug resistance in </w:t>
      </w:r>
      <w:r w:rsidRPr="5B6BEE08">
        <w:rPr>
          <w:rFonts w:asciiTheme="majorHAnsi" w:eastAsiaTheme="majorEastAsia" w:hAnsiTheme="majorHAnsi" w:cstheme="majorBidi"/>
          <w:i/>
          <w:iCs/>
          <w:color w:val="000000" w:themeColor="text1"/>
          <w:sz w:val="24"/>
          <w:szCs w:val="24"/>
        </w:rPr>
        <w:t>T. vaginalis</w:t>
      </w:r>
      <w:r w:rsidRPr="5B6BEE08">
        <w:rPr>
          <w:rFonts w:asciiTheme="majorHAnsi" w:eastAsiaTheme="majorEastAsia" w:hAnsiTheme="majorHAnsi" w:cstheme="majorBidi"/>
          <w:color w:val="000000" w:themeColor="text1"/>
          <w:sz w:val="24"/>
          <w:szCs w:val="24"/>
        </w:rPr>
        <w:t>?</w:t>
      </w:r>
    </w:p>
    <w:p w14:paraId="2A3C84B5" w14:textId="77777777" w:rsidR="003F6EE3" w:rsidRDefault="003F6EE3" w:rsidP="003F6EE3">
      <w:pPr>
        <w:rPr>
          <w:rFonts w:asciiTheme="majorHAnsi" w:eastAsiaTheme="majorEastAsia" w:hAnsiTheme="majorHAnsi" w:cstheme="majorBidi"/>
          <w:color w:val="000000" w:themeColor="text1"/>
          <w:sz w:val="24"/>
          <w:szCs w:val="24"/>
        </w:rPr>
      </w:pPr>
    </w:p>
    <w:p w14:paraId="6EBBECFE" w14:textId="77777777" w:rsidR="003F6EE3" w:rsidRDefault="5B6BEE08" w:rsidP="5B6BEE08">
      <w:pPr>
        <w:rPr>
          <w:rFonts w:asciiTheme="majorHAnsi" w:eastAsiaTheme="majorEastAsia" w:hAnsiTheme="majorHAnsi" w:cstheme="majorBidi"/>
          <w:b/>
          <w:bCs/>
          <w:color w:val="000000" w:themeColor="text1"/>
          <w:sz w:val="24"/>
          <w:szCs w:val="24"/>
        </w:rPr>
      </w:pPr>
      <w:r w:rsidRPr="5B6BEE08">
        <w:rPr>
          <w:rFonts w:asciiTheme="majorHAnsi" w:eastAsiaTheme="majorEastAsia" w:hAnsiTheme="majorHAnsi" w:cstheme="majorBidi"/>
          <w:b/>
          <w:bCs/>
          <w:color w:val="000000" w:themeColor="text1"/>
          <w:sz w:val="24"/>
          <w:szCs w:val="24"/>
        </w:rPr>
        <w:t xml:space="preserve">UW TASP Recommendations: </w:t>
      </w:r>
    </w:p>
    <w:p w14:paraId="3A7FB2ED" w14:textId="77777777" w:rsidR="003F6EE3" w:rsidRDefault="003F6EE3" w:rsidP="003F6EE3">
      <w:pPr>
        <w:pStyle w:val="paragraph"/>
        <w:spacing w:before="0" w:beforeAutospacing="0" w:after="0" w:afterAutospacing="0"/>
        <w:textAlignment w:val="baseline"/>
        <w:rPr>
          <w:rStyle w:val="normaltextrun"/>
          <w:rFonts w:ascii="Calibri" w:hAnsi="Calibri" w:cs="Segoe UI"/>
          <w:color w:val="000000"/>
        </w:rPr>
      </w:pPr>
    </w:p>
    <w:p w14:paraId="5000023E" w14:textId="6E5B9DA7" w:rsidR="003F6EE3" w:rsidRDefault="5B6BEE08" w:rsidP="5B6BEE08">
      <w:pPr>
        <w:pStyle w:val="paragraph"/>
        <w:spacing w:before="0" w:beforeAutospacing="0" w:after="0" w:afterAutospacing="0"/>
        <w:textAlignment w:val="baseline"/>
        <w:rPr>
          <w:rStyle w:val="normaltextrun"/>
          <w:rFonts w:ascii="Calibri" w:hAnsi="Calibri" w:cs="Segoe UI"/>
          <w:color w:val="000000" w:themeColor="text1"/>
        </w:rPr>
      </w:pPr>
      <w:r w:rsidRPr="5B6BEE08">
        <w:rPr>
          <w:rStyle w:val="normaltextrun"/>
          <w:rFonts w:ascii="Calibri" w:hAnsi="Calibri" w:cs="Segoe UI"/>
          <w:i/>
          <w:iCs/>
          <w:color w:val="000000" w:themeColor="text1"/>
        </w:rPr>
        <w:t>Trichomonas vaginalis</w:t>
      </w:r>
      <w:r w:rsidRPr="5B6BEE08">
        <w:rPr>
          <w:rStyle w:val="normaltextrun"/>
          <w:rFonts w:ascii="Calibri" w:hAnsi="Calibri" w:cs="Segoe UI"/>
          <w:color w:val="000000" w:themeColor="text1"/>
        </w:rPr>
        <w:t xml:space="preserve"> is a protozoan sexually transmitted infection (STI) and the most common non-viral STI in the United States (~3.7 million infections per year). It is transmitted during sexual intercourse from penis to vagina, vagina to penis and vagina to vagina. Only 30% of infections are symptomatic and more commonly symptomatic in women. Time from exposure to symptoms ranges from 5-28 days. Symptoms in women include pruritis, dysuria, soreness, and a change in vaginal discharge. Men typically experience urethritis, pruritis and penile discharge. </w:t>
      </w:r>
    </w:p>
    <w:p w14:paraId="76620BD2" w14:textId="00328BA3" w:rsidR="003F6EE3" w:rsidRDefault="003F6EE3" w:rsidP="5B6BEE08">
      <w:pPr>
        <w:pStyle w:val="paragraph"/>
        <w:spacing w:before="0" w:beforeAutospacing="0" w:after="0" w:afterAutospacing="0"/>
        <w:textAlignment w:val="baseline"/>
        <w:rPr>
          <w:rStyle w:val="normaltextrun"/>
          <w:rFonts w:ascii="Calibri" w:hAnsi="Calibri" w:cs="Segoe UI"/>
          <w:color w:val="000000" w:themeColor="text1"/>
        </w:rPr>
      </w:pPr>
    </w:p>
    <w:p w14:paraId="7DF9AD6F" w14:textId="58405F10" w:rsidR="003F6EE3" w:rsidRDefault="5B6BEE08" w:rsidP="5B6BEE08">
      <w:pPr>
        <w:pStyle w:val="paragraph"/>
        <w:spacing w:before="0" w:beforeAutospacing="0" w:after="0" w:afterAutospacing="0"/>
        <w:textAlignment w:val="baseline"/>
        <w:rPr>
          <w:rStyle w:val="normaltextrun"/>
          <w:rFonts w:ascii="Calibri" w:hAnsi="Calibri" w:cs="Segoe UI"/>
          <w:color w:val="000000" w:themeColor="text1"/>
        </w:rPr>
      </w:pPr>
      <w:r w:rsidRPr="5B6BEE08">
        <w:rPr>
          <w:rStyle w:val="normaltextrun"/>
          <w:rFonts w:ascii="Calibri" w:hAnsi="Calibri" w:cs="Segoe UI"/>
          <w:color w:val="000000" w:themeColor="text1"/>
        </w:rPr>
        <w:t>Trichomoniasis is particularly problematic in pregnancy. Infection is associated with preterm delivery and underweight infants. Infection is also a risk factor for other STIs.</w:t>
      </w:r>
    </w:p>
    <w:p w14:paraId="0AD99FDD" w14:textId="230FBA18" w:rsidR="003F6EE3" w:rsidRDefault="003F6EE3" w:rsidP="5B6BEE08">
      <w:pPr>
        <w:pStyle w:val="paragraph"/>
        <w:spacing w:before="0" w:beforeAutospacing="0" w:after="0" w:afterAutospacing="0"/>
        <w:textAlignment w:val="baseline"/>
        <w:rPr>
          <w:rStyle w:val="normaltextrun"/>
          <w:rFonts w:ascii="Calibri" w:hAnsi="Calibri" w:cs="Segoe UI"/>
          <w:color w:val="000000" w:themeColor="text1"/>
        </w:rPr>
      </w:pPr>
    </w:p>
    <w:p w14:paraId="2E42BBBA" w14:textId="52C82C6D" w:rsidR="003F6EE3" w:rsidRDefault="5B6BEE08" w:rsidP="5B6BEE08">
      <w:pPr>
        <w:pStyle w:val="paragraph"/>
        <w:spacing w:before="0" w:beforeAutospacing="0" w:after="0" w:afterAutospacing="0"/>
        <w:textAlignment w:val="baseline"/>
        <w:rPr>
          <w:rStyle w:val="normaltextrun"/>
          <w:rFonts w:ascii="Calibri" w:hAnsi="Calibri" w:cs="Segoe UI"/>
          <w:color w:val="000000" w:themeColor="text1"/>
        </w:rPr>
      </w:pPr>
      <w:r w:rsidRPr="5B6BEE08">
        <w:rPr>
          <w:rStyle w:val="normaltextrun"/>
          <w:rFonts w:ascii="Calibri" w:hAnsi="Calibri" w:cs="Segoe UI"/>
          <w:color w:val="000000" w:themeColor="text1"/>
        </w:rPr>
        <w:t xml:space="preserve">A common point of care (POC) test for trichomoniasis is a wet mount and visualization of motile organisms, but sensitivity of this test ranges from 36% to 70%. The gold standard is now the nucleic acid amplification tests (NAATs) (no longer culture as was described during TASP). At Harborview, the lab does both wet mounts and NAATs. If a wet mount is negative, it reflexes to NAAT. NAATs are less useful for monitoring of recurrent or persistent infection as non-viable organisms may be detected by NAAT. </w:t>
      </w:r>
    </w:p>
    <w:p w14:paraId="6FD590D5" w14:textId="5611EA5A" w:rsidR="003F6EE3" w:rsidRDefault="003F6EE3" w:rsidP="5B6BEE08">
      <w:pPr>
        <w:pStyle w:val="paragraph"/>
        <w:spacing w:before="0" w:beforeAutospacing="0" w:after="0" w:afterAutospacing="0"/>
        <w:textAlignment w:val="baseline"/>
        <w:rPr>
          <w:rStyle w:val="normaltextrun"/>
          <w:rFonts w:ascii="Calibri" w:hAnsi="Calibri" w:cs="Segoe UI"/>
          <w:color w:val="000000" w:themeColor="text1"/>
        </w:rPr>
      </w:pPr>
    </w:p>
    <w:p w14:paraId="59C375B1" w14:textId="39FF4C73" w:rsidR="003F6EE3" w:rsidRDefault="5B6BEE08" w:rsidP="5B6BEE08">
      <w:pPr>
        <w:pStyle w:val="paragraph"/>
        <w:spacing w:before="0" w:beforeAutospacing="0" w:after="0" w:afterAutospacing="0"/>
        <w:textAlignment w:val="baseline"/>
        <w:rPr>
          <w:rStyle w:val="normaltextrun"/>
          <w:rFonts w:ascii="Calibri" w:hAnsi="Calibri" w:cs="Segoe UI"/>
          <w:color w:val="000000" w:themeColor="text1"/>
        </w:rPr>
      </w:pPr>
      <w:r w:rsidRPr="5B6BEE08">
        <w:rPr>
          <w:rStyle w:val="normaltextrun"/>
          <w:rFonts w:ascii="Calibri" w:hAnsi="Calibri" w:cs="Segoe UI"/>
          <w:color w:val="000000" w:themeColor="text1"/>
        </w:rPr>
        <w:t>Per the 2015 CDC STD Treatment Guidelines, the preferred treatments are:</w:t>
      </w:r>
    </w:p>
    <w:p w14:paraId="1220A696" w14:textId="33C324BA" w:rsidR="003F6EE3" w:rsidRDefault="5B6BEE08" w:rsidP="5B6BEE08">
      <w:pPr>
        <w:pStyle w:val="paragraph"/>
        <w:numPr>
          <w:ilvl w:val="0"/>
          <w:numId w:val="4"/>
        </w:numPr>
        <w:spacing w:before="0" w:beforeAutospacing="0" w:after="0" w:afterAutospacing="0"/>
        <w:textAlignment w:val="baseline"/>
        <w:rPr>
          <w:rStyle w:val="normaltextrun"/>
          <w:color w:val="000000" w:themeColor="text1"/>
        </w:rPr>
      </w:pPr>
      <w:r w:rsidRPr="5B6BEE08">
        <w:rPr>
          <w:rStyle w:val="normaltextrun"/>
          <w:rFonts w:ascii="Calibri" w:hAnsi="Calibri" w:cs="Segoe UI"/>
          <w:color w:val="000000" w:themeColor="text1"/>
        </w:rPr>
        <w:t>Metronidazole (MTR) 2 grams PO x 1</w:t>
      </w:r>
    </w:p>
    <w:p w14:paraId="470A5503" w14:textId="0936D8EE" w:rsidR="003F6EE3" w:rsidRDefault="5B6BEE08" w:rsidP="5B6BEE08">
      <w:pPr>
        <w:pStyle w:val="paragraph"/>
        <w:numPr>
          <w:ilvl w:val="0"/>
          <w:numId w:val="4"/>
        </w:numPr>
        <w:spacing w:before="0" w:beforeAutospacing="0" w:after="0" w:afterAutospacing="0"/>
        <w:textAlignment w:val="baseline"/>
        <w:rPr>
          <w:rStyle w:val="normaltextrun"/>
          <w:color w:val="000000" w:themeColor="text1"/>
        </w:rPr>
      </w:pPr>
      <w:r w:rsidRPr="5B6BEE08">
        <w:rPr>
          <w:rStyle w:val="normaltextrun"/>
          <w:rFonts w:ascii="Calibri" w:hAnsi="Calibri" w:cs="Segoe UI"/>
          <w:color w:val="000000" w:themeColor="text1"/>
        </w:rPr>
        <w:t>Tinidazole (TIN) 2 grams PO x 1</w:t>
      </w:r>
    </w:p>
    <w:p w14:paraId="0EF49096" w14:textId="079FDE21" w:rsidR="003F6EE3" w:rsidRDefault="5B6BEE08" w:rsidP="5B6BEE08">
      <w:pPr>
        <w:pStyle w:val="paragraph"/>
        <w:numPr>
          <w:ilvl w:val="0"/>
          <w:numId w:val="4"/>
        </w:numPr>
        <w:spacing w:before="0" w:beforeAutospacing="0" w:after="0" w:afterAutospacing="0"/>
        <w:textAlignment w:val="baseline"/>
        <w:rPr>
          <w:rStyle w:val="normaltextrun"/>
          <w:color w:val="000000" w:themeColor="text1"/>
        </w:rPr>
      </w:pPr>
      <w:r w:rsidRPr="5B6BEE08">
        <w:rPr>
          <w:rStyle w:val="normaltextrun"/>
          <w:rFonts w:ascii="Calibri" w:hAnsi="Calibri" w:cs="Segoe UI"/>
          <w:color w:val="000000" w:themeColor="text1"/>
        </w:rPr>
        <w:t>Alt: metronidazole 500 mg PO BID x 7 days</w:t>
      </w:r>
    </w:p>
    <w:p w14:paraId="0E7ABA61" w14:textId="286CD423" w:rsidR="003F6EE3" w:rsidRDefault="003F6EE3" w:rsidP="5B6BEE08">
      <w:pPr>
        <w:pStyle w:val="paragraph"/>
        <w:spacing w:before="0" w:beforeAutospacing="0" w:after="0" w:afterAutospacing="0"/>
        <w:textAlignment w:val="baseline"/>
        <w:rPr>
          <w:rStyle w:val="normaltextrun"/>
          <w:rFonts w:ascii="Calibri" w:hAnsi="Calibri" w:cs="Segoe UI"/>
          <w:color w:val="000000" w:themeColor="text1"/>
        </w:rPr>
      </w:pPr>
    </w:p>
    <w:p w14:paraId="3695704E" w14:textId="2FF605CC" w:rsidR="003F6EE3" w:rsidRDefault="5B6BEE08" w:rsidP="5B6BEE08">
      <w:pPr>
        <w:pStyle w:val="paragraph"/>
        <w:spacing w:before="0" w:beforeAutospacing="0" w:after="0" w:afterAutospacing="0"/>
        <w:textAlignment w:val="baseline"/>
        <w:rPr>
          <w:rStyle w:val="normaltextrun"/>
          <w:rFonts w:ascii="Calibri" w:hAnsi="Calibri" w:cs="Segoe UI"/>
          <w:color w:val="000000" w:themeColor="text1"/>
        </w:rPr>
      </w:pPr>
      <w:r w:rsidRPr="5B6BEE08">
        <w:rPr>
          <w:rStyle w:val="normaltextrun"/>
          <w:rFonts w:ascii="Calibri" w:hAnsi="Calibri" w:cs="Segoe UI"/>
          <w:color w:val="000000" w:themeColor="text1"/>
        </w:rPr>
        <w:t>Sexual partners must be treated as well to prevent re-infection. Both individuals should abstain from intercourse x 7 days after starting therapy.</w:t>
      </w:r>
    </w:p>
    <w:p w14:paraId="4F99D0E2" w14:textId="6747C7CB" w:rsidR="003F6EE3" w:rsidRDefault="003F6EE3" w:rsidP="5B6BEE08">
      <w:pPr>
        <w:pStyle w:val="paragraph"/>
        <w:spacing w:before="0" w:beforeAutospacing="0" w:after="0" w:afterAutospacing="0"/>
        <w:textAlignment w:val="baseline"/>
        <w:rPr>
          <w:rStyle w:val="normaltextrun"/>
          <w:rFonts w:ascii="Calibri" w:hAnsi="Calibri" w:cs="Segoe UI"/>
          <w:color w:val="000000" w:themeColor="text1"/>
        </w:rPr>
      </w:pPr>
    </w:p>
    <w:p w14:paraId="578B6A98" w14:textId="6955DFE3" w:rsidR="003F6EE3" w:rsidRDefault="5B6BEE08" w:rsidP="5B6BEE08">
      <w:pPr>
        <w:pStyle w:val="paragraph"/>
        <w:spacing w:before="0" w:beforeAutospacing="0" w:after="0" w:afterAutospacing="0"/>
        <w:textAlignment w:val="baseline"/>
        <w:rPr>
          <w:rStyle w:val="normaltextrun"/>
          <w:rFonts w:ascii="Calibri" w:hAnsi="Calibri" w:cs="Segoe UI"/>
          <w:color w:val="000000" w:themeColor="text1"/>
        </w:rPr>
      </w:pPr>
      <w:r w:rsidRPr="5B6BEE08">
        <w:rPr>
          <w:rStyle w:val="normaltextrun"/>
          <w:rFonts w:ascii="Calibri" w:hAnsi="Calibri" w:cs="Segoe UI"/>
          <w:color w:val="000000" w:themeColor="text1"/>
        </w:rPr>
        <w:t xml:space="preserve">Some experts recommend the 7 day regimen due to increasing failure rates with single dose regimens, especially metronidazole. Detection of varying levels of metronidazole resistance are increasing, but require culture and testing at the CDC lab. The level of resistance to tinidazole is much lower, but the drug tends to be more expensive than metronidazole. </w:t>
      </w:r>
    </w:p>
    <w:p w14:paraId="04960938" w14:textId="7F84956C" w:rsidR="003F6EE3" w:rsidRDefault="003F6EE3" w:rsidP="5B6BEE08">
      <w:pPr>
        <w:pStyle w:val="paragraph"/>
        <w:spacing w:before="0" w:beforeAutospacing="0" w:after="0" w:afterAutospacing="0"/>
        <w:textAlignment w:val="baseline"/>
        <w:rPr>
          <w:rStyle w:val="normaltextrun"/>
          <w:rFonts w:ascii="Calibri" w:hAnsi="Calibri" w:cs="Segoe UI"/>
          <w:color w:val="000000" w:themeColor="text1"/>
        </w:rPr>
      </w:pPr>
    </w:p>
    <w:p w14:paraId="2915559E" w14:textId="0EF28827" w:rsidR="003F6EE3" w:rsidRDefault="5B6BEE08" w:rsidP="5B6BEE08">
      <w:pPr>
        <w:pStyle w:val="paragraph"/>
        <w:spacing w:before="0" w:beforeAutospacing="0" w:after="0" w:afterAutospacing="0"/>
        <w:textAlignment w:val="baseline"/>
        <w:rPr>
          <w:rStyle w:val="normaltextrun"/>
          <w:rFonts w:ascii="Calibri" w:hAnsi="Calibri" w:cs="Segoe UI"/>
          <w:color w:val="000000" w:themeColor="text1"/>
        </w:rPr>
      </w:pPr>
      <w:r w:rsidRPr="5B6BEE08">
        <w:rPr>
          <w:rStyle w:val="normaltextrun"/>
          <w:rFonts w:ascii="Calibri" w:hAnsi="Calibri" w:cs="Segoe UI"/>
          <w:color w:val="000000" w:themeColor="text1"/>
        </w:rPr>
        <w:t xml:space="preserve">Strategies for treatment when single dose MTZ fails </w:t>
      </w:r>
      <w:r w:rsidRPr="5B6BEE08">
        <w:rPr>
          <w:rStyle w:val="normaltextrun"/>
          <w:rFonts w:ascii="Calibri" w:hAnsi="Calibri" w:cs="Segoe UI"/>
          <w:color w:val="000000" w:themeColor="text1"/>
          <w:u w:val="single"/>
        </w:rPr>
        <w:t>and</w:t>
      </w:r>
      <w:r w:rsidRPr="5B6BEE08">
        <w:rPr>
          <w:rStyle w:val="normaltextrun"/>
          <w:rFonts w:ascii="Calibri" w:hAnsi="Calibri" w:cs="Segoe UI"/>
          <w:color w:val="000000" w:themeColor="text1"/>
        </w:rPr>
        <w:t xml:space="preserve"> re-infection is excluded:</w:t>
      </w:r>
    </w:p>
    <w:p w14:paraId="1980DB91" w14:textId="5ECE36AF" w:rsidR="003F6EE3" w:rsidRDefault="5B6BEE08" w:rsidP="5B6BEE08">
      <w:pPr>
        <w:pStyle w:val="paragraph"/>
        <w:numPr>
          <w:ilvl w:val="0"/>
          <w:numId w:val="3"/>
        </w:numPr>
        <w:spacing w:before="0" w:beforeAutospacing="0" w:after="0" w:afterAutospacing="0"/>
        <w:textAlignment w:val="baseline"/>
        <w:rPr>
          <w:rStyle w:val="normaltextrun"/>
          <w:color w:val="000000" w:themeColor="text1"/>
        </w:rPr>
      </w:pPr>
      <w:r w:rsidRPr="5B6BEE08">
        <w:rPr>
          <w:rStyle w:val="normaltextrun"/>
          <w:rFonts w:ascii="Calibri" w:hAnsi="Calibri" w:cs="Segoe UI"/>
          <w:color w:val="000000" w:themeColor="text1"/>
        </w:rPr>
        <w:t>MTZ 500 mg PO BID x 7 days</w:t>
      </w:r>
    </w:p>
    <w:p w14:paraId="0F73E8D0" w14:textId="3AE17348" w:rsidR="003F6EE3" w:rsidRDefault="003F6EE3" w:rsidP="5B6BEE08">
      <w:pPr>
        <w:pStyle w:val="paragraph"/>
        <w:spacing w:before="0" w:beforeAutospacing="0" w:after="0" w:afterAutospacing="0"/>
        <w:textAlignment w:val="baseline"/>
        <w:rPr>
          <w:rStyle w:val="normaltextrun"/>
          <w:rFonts w:ascii="Calibri" w:hAnsi="Calibri" w:cs="Segoe UI"/>
          <w:color w:val="000000" w:themeColor="text1"/>
        </w:rPr>
      </w:pPr>
    </w:p>
    <w:p w14:paraId="377FA870" w14:textId="27D0720E" w:rsidR="003F6EE3" w:rsidRDefault="5B6BEE08" w:rsidP="5B6BEE08">
      <w:pPr>
        <w:pStyle w:val="paragraph"/>
        <w:spacing w:before="0" w:beforeAutospacing="0" w:after="0" w:afterAutospacing="0"/>
        <w:textAlignment w:val="baseline"/>
        <w:rPr>
          <w:rStyle w:val="normaltextrun"/>
          <w:rFonts w:ascii="Calibri" w:hAnsi="Calibri" w:cs="Segoe UI"/>
          <w:color w:val="000000" w:themeColor="text1"/>
        </w:rPr>
      </w:pPr>
      <w:r w:rsidRPr="5B6BEE08">
        <w:rPr>
          <w:rStyle w:val="normaltextrun"/>
          <w:rFonts w:ascii="Calibri" w:hAnsi="Calibri" w:cs="Segoe UI"/>
          <w:color w:val="000000" w:themeColor="text1"/>
        </w:rPr>
        <w:t>If this doesn’t work:</w:t>
      </w:r>
    </w:p>
    <w:p w14:paraId="33B943B7" w14:textId="489D6780" w:rsidR="003F6EE3" w:rsidRDefault="5B6BEE08" w:rsidP="5B6BEE08">
      <w:pPr>
        <w:pStyle w:val="paragraph"/>
        <w:numPr>
          <w:ilvl w:val="0"/>
          <w:numId w:val="2"/>
        </w:numPr>
        <w:spacing w:before="0" w:beforeAutospacing="0" w:after="0" w:afterAutospacing="0"/>
        <w:textAlignment w:val="baseline"/>
        <w:rPr>
          <w:rStyle w:val="normaltextrun"/>
          <w:color w:val="000000" w:themeColor="text1"/>
        </w:rPr>
      </w:pPr>
      <w:r w:rsidRPr="5B6BEE08">
        <w:rPr>
          <w:rStyle w:val="normaltextrun"/>
          <w:rFonts w:ascii="Calibri" w:hAnsi="Calibri" w:cs="Segoe UI"/>
          <w:color w:val="000000" w:themeColor="text1"/>
        </w:rPr>
        <w:t>MTZ or TIN 2 grams PO daily x 5-7 days</w:t>
      </w:r>
    </w:p>
    <w:p w14:paraId="6C7E707E" w14:textId="01A5F8FC" w:rsidR="003F6EE3" w:rsidRDefault="5B6BEE08" w:rsidP="5B6BEE08">
      <w:pPr>
        <w:pStyle w:val="paragraph"/>
        <w:numPr>
          <w:ilvl w:val="0"/>
          <w:numId w:val="2"/>
        </w:numPr>
        <w:spacing w:before="0" w:beforeAutospacing="0" w:after="0" w:afterAutospacing="0"/>
        <w:textAlignment w:val="baseline"/>
        <w:rPr>
          <w:rStyle w:val="normaltextrun"/>
          <w:color w:val="000000" w:themeColor="text1"/>
        </w:rPr>
      </w:pPr>
      <w:r w:rsidRPr="5B6BEE08">
        <w:rPr>
          <w:rStyle w:val="normaltextrun"/>
          <w:rFonts w:ascii="Calibri" w:hAnsi="Calibri" w:cs="Segoe UI"/>
          <w:color w:val="000000" w:themeColor="text1"/>
        </w:rPr>
        <w:t>Check susceptibilities</w:t>
      </w:r>
    </w:p>
    <w:p w14:paraId="044E2315" w14:textId="3B88F670" w:rsidR="003F6EE3" w:rsidRDefault="003F6EE3" w:rsidP="5B6BEE08">
      <w:pPr>
        <w:pStyle w:val="paragraph"/>
        <w:spacing w:before="0" w:beforeAutospacing="0" w:after="0" w:afterAutospacing="0"/>
        <w:textAlignment w:val="baseline"/>
        <w:rPr>
          <w:rStyle w:val="normaltextrun"/>
          <w:rFonts w:ascii="Calibri" w:hAnsi="Calibri" w:cs="Segoe UI"/>
          <w:color w:val="000000" w:themeColor="text1"/>
        </w:rPr>
      </w:pPr>
    </w:p>
    <w:p w14:paraId="5596ED57" w14:textId="7E052307" w:rsidR="003F6EE3" w:rsidRDefault="5B6BEE08" w:rsidP="5B6BEE08">
      <w:pPr>
        <w:pStyle w:val="paragraph"/>
        <w:spacing w:before="0" w:beforeAutospacing="0" w:after="0" w:afterAutospacing="0"/>
        <w:textAlignment w:val="baseline"/>
        <w:rPr>
          <w:rStyle w:val="normaltextrun"/>
          <w:rFonts w:ascii="Calibri" w:hAnsi="Calibri" w:cs="Segoe UI"/>
          <w:color w:val="000000" w:themeColor="text1"/>
        </w:rPr>
      </w:pPr>
      <w:r w:rsidRPr="5B6BEE08">
        <w:rPr>
          <w:rStyle w:val="normaltextrun"/>
          <w:rFonts w:ascii="Calibri" w:hAnsi="Calibri" w:cs="Segoe UI"/>
          <w:color w:val="000000" w:themeColor="text1"/>
        </w:rPr>
        <w:t>Alternatives:</w:t>
      </w:r>
    </w:p>
    <w:p w14:paraId="0AFD38A8" w14:textId="0BC9CB4D" w:rsidR="003F6EE3" w:rsidRDefault="5B6BEE08" w:rsidP="5B6BEE08">
      <w:pPr>
        <w:pStyle w:val="paragraph"/>
        <w:numPr>
          <w:ilvl w:val="0"/>
          <w:numId w:val="1"/>
        </w:numPr>
        <w:spacing w:before="0" w:beforeAutospacing="0" w:after="0" w:afterAutospacing="0"/>
        <w:textAlignment w:val="baseline"/>
        <w:rPr>
          <w:rStyle w:val="normaltextrun"/>
          <w:color w:val="000000" w:themeColor="text1"/>
        </w:rPr>
      </w:pPr>
      <w:r w:rsidRPr="5B6BEE08">
        <w:rPr>
          <w:rStyle w:val="normaltextrun"/>
          <w:rFonts w:ascii="Calibri" w:hAnsi="Calibri" w:cs="Segoe UI"/>
          <w:color w:val="000000" w:themeColor="text1"/>
        </w:rPr>
        <w:t>Intravaginal boric acid 600 mg gelatin capsules BID x 14 days</w:t>
      </w:r>
    </w:p>
    <w:p w14:paraId="09073A48" w14:textId="3262C334" w:rsidR="003F6EE3" w:rsidRDefault="003F6EE3" w:rsidP="5B6BEE08">
      <w:pPr>
        <w:pStyle w:val="paragraph"/>
        <w:spacing w:before="0" w:beforeAutospacing="0" w:after="0" w:afterAutospacing="0"/>
        <w:textAlignment w:val="baseline"/>
        <w:rPr>
          <w:rStyle w:val="normaltextrun"/>
          <w:rFonts w:ascii="Calibri" w:hAnsi="Calibri" w:cs="Segoe UI"/>
          <w:color w:val="000000" w:themeColor="text1"/>
        </w:rPr>
      </w:pPr>
    </w:p>
    <w:p w14:paraId="33792ABD" w14:textId="4D35B40E" w:rsidR="003F6EE3" w:rsidRDefault="5B6BEE08" w:rsidP="5B6BEE08">
      <w:pPr>
        <w:pStyle w:val="paragraph"/>
        <w:spacing w:before="0" w:beforeAutospacing="0" w:after="0" w:afterAutospacing="0"/>
        <w:textAlignment w:val="baseline"/>
        <w:rPr>
          <w:rStyle w:val="normaltextrun"/>
          <w:rFonts w:ascii="Calibri" w:hAnsi="Calibri" w:cs="Segoe UI"/>
          <w:color w:val="000000" w:themeColor="text1"/>
        </w:rPr>
      </w:pPr>
      <w:r w:rsidRPr="5B6BEE08">
        <w:rPr>
          <w:rStyle w:val="normaltextrun"/>
          <w:rFonts w:ascii="Calibri" w:hAnsi="Calibri" w:cs="Segoe UI"/>
          <w:color w:val="000000" w:themeColor="text1"/>
        </w:rPr>
        <w:t>NOT Recommended: betadine douches, clotrimazole, acetic acid topical microbicides, furazolidone, gentian violet, potassium permanganate, nonoxynol-9</w:t>
      </w:r>
    </w:p>
    <w:p w14:paraId="4A69723F" w14:textId="77777777" w:rsidR="003F6EE3" w:rsidRDefault="003F6EE3" w:rsidP="003F6EE3">
      <w:pPr>
        <w:pStyle w:val="paragraph"/>
        <w:spacing w:before="0" w:beforeAutospacing="0" w:after="0" w:afterAutospacing="0"/>
        <w:textAlignment w:val="baseline"/>
        <w:rPr>
          <w:rStyle w:val="normaltextrun"/>
          <w:rFonts w:ascii="Calibri" w:hAnsi="Calibri" w:cs="Segoe UI"/>
          <w:color w:val="000000"/>
        </w:rPr>
      </w:pPr>
    </w:p>
    <w:p w14:paraId="4A50AFB5" w14:textId="77777777" w:rsidR="003F6EE3" w:rsidRDefault="003F6EE3" w:rsidP="5B6BEE08">
      <w:pPr>
        <w:pStyle w:val="paragraph"/>
        <w:spacing w:before="0" w:beforeAutospacing="0" w:after="0" w:afterAutospacing="0"/>
        <w:textAlignment w:val="baseline"/>
        <w:rPr>
          <w:rStyle w:val="normaltextrun"/>
          <w:rFonts w:ascii="Calibri" w:hAnsi="Calibri" w:cs="Segoe UI"/>
          <w:color w:val="000000" w:themeColor="text1"/>
        </w:rPr>
      </w:pPr>
    </w:p>
    <w:p w14:paraId="04E3CF1A" w14:textId="34DC2BF0" w:rsidR="5B6BEE08" w:rsidRDefault="5B6BEE08" w:rsidP="5B6BEE08">
      <w:pPr>
        <w:pStyle w:val="paragraph"/>
        <w:spacing w:before="0" w:beforeAutospacing="0" w:after="0" w:afterAutospacing="0"/>
        <w:rPr>
          <w:rStyle w:val="normaltextrun"/>
          <w:rFonts w:ascii="Calibri" w:hAnsi="Calibri" w:cs="Segoe UI"/>
          <w:color w:val="000000" w:themeColor="text1"/>
        </w:rPr>
      </w:pPr>
      <w:r w:rsidRPr="5B6BEE08">
        <w:rPr>
          <w:rStyle w:val="normaltextrun"/>
          <w:rFonts w:ascii="Calibri" w:hAnsi="Calibri" w:cs="Segoe UI"/>
          <w:color w:val="000000" w:themeColor="text1"/>
        </w:rPr>
        <w:t>Resistance data from Emerg Infec Diseases 2012:</w:t>
      </w:r>
    </w:p>
    <w:p w14:paraId="13708134" w14:textId="64D6BF5B" w:rsidR="5B6BEE08" w:rsidRDefault="5B6BEE08" w:rsidP="5B6BEE08">
      <w:pPr>
        <w:pStyle w:val="paragraph"/>
        <w:spacing w:before="0" w:beforeAutospacing="0" w:after="0" w:afterAutospacing="0"/>
        <w:rPr>
          <w:rStyle w:val="normaltextrun"/>
          <w:rFonts w:ascii="Calibri" w:hAnsi="Calibri" w:cs="Segoe UI"/>
          <w:color w:val="000000" w:themeColor="text1"/>
        </w:rPr>
      </w:pPr>
    </w:p>
    <w:p w14:paraId="7D1C70B9" w14:textId="2F8D477B" w:rsidR="5B6BEE08" w:rsidRDefault="5B6BEE08" w:rsidP="5B6BEE08">
      <w:pPr>
        <w:pStyle w:val="paragraph"/>
        <w:spacing w:before="0" w:beforeAutospacing="0" w:after="0" w:afterAutospacing="0"/>
        <w:jc w:val="center"/>
      </w:pPr>
      <w:r>
        <w:rPr>
          <w:noProof/>
        </w:rPr>
        <w:drawing>
          <wp:inline distT="0" distB="0" distL="0" distR="0" wp14:anchorId="10F6BA1C" wp14:editId="1835C7F3">
            <wp:extent cx="4572000" cy="1876425"/>
            <wp:effectExtent l="0" t="0" r="0" b="0"/>
            <wp:docPr id="2040439915" name="Picture 2040439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1876425"/>
                    </a:xfrm>
                    <a:prstGeom prst="rect">
                      <a:avLst/>
                    </a:prstGeom>
                  </pic:spPr>
                </pic:pic>
              </a:graphicData>
            </a:graphic>
          </wp:inline>
        </w:drawing>
      </w:r>
    </w:p>
    <w:p w14:paraId="3C26F2C6" w14:textId="34D2257C" w:rsidR="5B6BEE08" w:rsidRDefault="5B6BEE08" w:rsidP="5B6BEE08">
      <w:pPr>
        <w:pStyle w:val="paragraph"/>
        <w:spacing w:before="0" w:beforeAutospacing="0" w:after="0" w:afterAutospacing="0"/>
        <w:rPr>
          <w:rStyle w:val="normaltextrun"/>
          <w:rFonts w:ascii="Calibri" w:hAnsi="Calibri" w:cs="Segoe UI"/>
          <w:color w:val="000000" w:themeColor="text1"/>
        </w:rPr>
      </w:pPr>
    </w:p>
    <w:p w14:paraId="04CE46F8" w14:textId="5D93F5D2" w:rsidR="5B6BEE08" w:rsidRDefault="5B6BEE08" w:rsidP="5B6BEE08">
      <w:pPr>
        <w:pStyle w:val="paragraph"/>
        <w:spacing w:before="0" w:beforeAutospacing="0" w:after="0" w:afterAutospacing="0"/>
        <w:rPr>
          <w:rStyle w:val="normaltextrun"/>
          <w:rFonts w:ascii="Calibri" w:hAnsi="Calibri" w:cs="Segoe UI"/>
          <w:color w:val="000000" w:themeColor="text1"/>
        </w:rPr>
      </w:pPr>
    </w:p>
    <w:p w14:paraId="14717DE9" w14:textId="77777777" w:rsidR="003F6EE3" w:rsidRDefault="003F6EE3" w:rsidP="003F6EE3">
      <w:pPr>
        <w:pStyle w:val="paragraph"/>
        <w:spacing w:before="0" w:beforeAutospacing="0" w:after="0" w:afterAutospacing="0"/>
        <w:textAlignment w:val="baseline"/>
        <w:rPr>
          <w:rStyle w:val="normaltextrun"/>
          <w:rFonts w:ascii="Calibri" w:hAnsi="Calibri" w:cs="Segoe UI"/>
          <w:color w:val="000000"/>
        </w:rPr>
      </w:pPr>
    </w:p>
    <w:p w14:paraId="60F80E3D"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rPr>
        <w:t>On behalf of the UW TASP Specialist Team:  </w:t>
      </w:r>
      <w:r>
        <w:rPr>
          <w:rStyle w:val="normaltextrun"/>
          <w:rFonts w:ascii="Calibri" w:hAnsi="Calibri" w:cs="Segoe UI"/>
        </w:rPr>
        <w:t> </w:t>
      </w:r>
      <w:r>
        <w:rPr>
          <w:rStyle w:val="eop"/>
          <w:rFonts w:ascii="Calibri" w:hAnsi="Calibri" w:cs="Segoe UI"/>
        </w:rPr>
        <w:t> </w:t>
      </w:r>
    </w:p>
    <w:p w14:paraId="274715A6"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 </w:t>
      </w:r>
      <w:r>
        <w:rPr>
          <w:rStyle w:val="eop"/>
          <w:rFonts w:ascii="Calibri" w:hAnsi="Calibri" w:cs="Segoe UI"/>
        </w:rPr>
        <w:t> </w:t>
      </w:r>
    </w:p>
    <w:p w14:paraId="6D1652D3"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John Lynch, MD MPH</w:t>
      </w:r>
      <w:r>
        <w:rPr>
          <w:rStyle w:val="normaltextrun"/>
          <w:rFonts w:ascii="Calibri" w:hAnsi="Calibri" w:cs="Segoe UI"/>
        </w:rPr>
        <w:t> </w:t>
      </w:r>
      <w:r>
        <w:rPr>
          <w:rStyle w:val="eop"/>
          <w:rFonts w:ascii="Calibri" w:hAnsi="Calibri" w:cs="Segoe UI"/>
        </w:rPr>
        <w:t> </w:t>
      </w:r>
    </w:p>
    <w:p w14:paraId="0C745A79"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Chloe Bryson-Cahn, MD</w:t>
      </w:r>
      <w:r>
        <w:rPr>
          <w:rStyle w:val="normaltextrun"/>
          <w:rFonts w:ascii="Calibri" w:hAnsi="Calibri" w:cs="Segoe UI"/>
        </w:rPr>
        <w:t> </w:t>
      </w:r>
      <w:r>
        <w:rPr>
          <w:rStyle w:val="eop"/>
          <w:rFonts w:ascii="Calibri" w:hAnsi="Calibri" w:cs="Segoe UI"/>
        </w:rPr>
        <w:t> </w:t>
      </w:r>
    </w:p>
    <w:p w14:paraId="66BF8422"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Jeannie Chan, PharmD</w:t>
      </w:r>
      <w:r>
        <w:rPr>
          <w:rStyle w:val="normaltextrun"/>
          <w:rFonts w:ascii="Calibri" w:hAnsi="Calibri" w:cs="Segoe UI"/>
        </w:rPr>
        <w:t> </w:t>
      </w:r>
      <w:r>
        <w:rPr>
          <w:rStyle w:val="eop"/>
          <w:rFonts w:ascii="Calibri" w:hAnsi="Calibri" w:cs="Segoe UI"/>
        </w:rPr>
        <w:t> </w:t>
      </w:r>
    </w:p>
    <w:p w14:paraId="5C3D04AF"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Zahra </w:t>
      </w:r>
      <w:r>
        <w:rPr>
          <w:rStyle w:val="spellingerror"/>
          <w:rFonts w:ascii="Calibri" w:hAnsi="Calibri" w:cs="Segoe UI"/>
          <w:i/>
          <w:iCs/>
          <w:color w:val="000000"/>
        </w:rPr>
        <w:t>Kassamali</w:t>
      </w:r>
      <w:r>
        <w:rPr>
          <w:rStyle w:val="normaltextrun"/>
          <w:rFonts w:ascii="Calibri" w:hAnsi="Calibri" w:cs="Segoe UI"/>
          <w:i/>
          <w:iCs/>
          <w:color w:val="000000"/>
        </w:rPr>
        <w:t> Escobar, PharmD</w:t>
      </w:r>
      <w:r>
        <w:rPr>
          <w:rStyle w:val="normaltextrun"/>
          <w:rFonts w:ascii="Calibri" w:hAnsi="Calibri" w:cs="Segoe UI"/>
        </w:rPr>
        <w:t> </w:t>
      </w:r>
      <w:r>
        <w:rPr>
          <w:rStyle w:val="eop"/>
          <w:rFonts w:ascii="Calibri" w:hAnsi="Calibri" w:cs="Segoe UI"/>
        </w:rPr>
        <w:t> </w:t>
      </w:r>
    </w:p>
    <w:p w14:paraId="2BE9A2D7"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Rupali Jain, PharmD</w:t>
      </w:r>
      <w:r>
        <w:rPr>
          <w:rStyle w:val="normaltextrun"/>
          <w:rFonts w:ascii="Calibri" w:hAnsi="Calibri" w:cs="Segoe UI"/>
        </w:rPr>
        <w:t> </w:t>
      </w:r>
      <w:r>
        <w:rPr>
          <w:rStyle w:val="eop"/>
          <w:rFonts w:ascii="Calibri" w:hAnsi="Calibri" w:cs="Segoe UI"/>
        </w:rPr>
        <w:t> </w:t>
      </w:r>
    </w:p>
    <w:p w14:paraId="3D18CFD9"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Paul Pottinger, MD FIDSA</w:t>
      </w:r>
      <w:r>
        <w:rPr>
          <w:rStyle w:val="normaltextrun"/>
          <w:rFonts w:ascii="Calibri" w:hAnsi="Calibri" w:cs="Segoe UI"/>
        </w:rPr>
        <w:t> </w:t>
      </w:r>
      <w:r>
        <w:rPr>
          <w:rStyle w:val="eop"/>
          <w:rFonts w:ascii="Calibri" w:hAnsi="Calibri" w:cs="Segoe UI"/>
        </w:rPr>
        <w:t> </w:t>
      </w:r>
    </w:p>
    <w:p w14:paraId="7BEA8514"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lastRenderedPageBreak/>
        <w:t> </w:t>
      </w:r>
      <w:r>
        <w:rPr>
          <w:rStyle w:val="eop"/>
          <w:rFonts w:ascii="Calibri" w:hAnsi="Calibri" w:cs="Segoe UI"/>
        </w:rPr>
        <w:t> </w:t>
      </w:r>
    </w:p>
    <w:p w14:paraId="6F005AE1"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0"/>
          <w:szCs w:val="20"/>
        </w:rPr>
        <w:t>PLEASE NOTE that UW TASP case consultations do </w:t>
      </w:r>
      <w:r>
        <w:rPr>
          <w:rStyle w:val="normaltextrun"/>
          <w:rFonts w:ascii="Calibri" w:hAnsi="Calibri" w:cs="Segoe UI"/>
          <w:color w:val="000000"/>
          <w:sz w:val="20"/>
          <w:szCs w:val="20"/>
          <w:u w:val="single"/>
        </w:rPr>
        <w:t>not</w:t>
      </w:r>
      <w:r>
        <w:rPr>
          <w:rStyle w:val="normaltextrun"/>
          <w:rFonts w:ascii="Calibri" w:hAnsi="Calibri" w:cs="Segoe UI"/>
          <w:color w:val="000000"/>
          <w:sz w:val="20"/>
          <w:szCs w:val="20"/>
        </w:rPr>
        <w:t> create or otherwise establish a provider-patient relationship between any UW Medicine Health Care Professional and any patient whose case is being presented in a UW TASP setting.  A provider-patient relationship between a UW Medicine Health Care Professional and a patient whose case was presented at UW TASP may later be established if the patient is referred and seen in the context of a regular appointment with the UW Medicine Health Care Professional. </w:t>
      </w:r>
      <w:r>
        <w:rPr>
          <w:rStyle w:val="eop"/>
          <w:rFonts w:ascii="Calibri" w:hAnsi="Calibri" w:cs="Segoe UI"/>
          <w:sz w:val="20"/>
          <w:szCs w:val="20"/>
        </w:rPr>
        <w:t> </w:t>
      </w:r>
    </w:p>
    <w:p w14:paraId="51DA9038" w14:textId="77777777" w:rsidR="00C17F55" w:rsidRDefault="00C17F55"/>
    <w:sectPr w:rsidR="00C17F55" w:rsidSect="000D2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66A86"/>
    <w:multiLevelType w:val="hybridMultilevel"/>
    <w:tmpl w:val="E262847E"/>
    <w:lvl w:ilvl="0" w:tplc="60B43C96">
      <w:start w:val="1"/>
      <w:numFmt w:val="bullet"/>
      <w:lvlText w:val=""/>
      <w:lvlJc w:val="left"/>
      <w:pPr>
        <w:ind w:left="720" w:hanging="360"/>
      </w:pPr>
      <w:rPr>
        <w:rFonts w:ascii="Symbol" w:hAnsi="Symbol" w:hint="default"/>
      </w:rPr>
    </w:lvl>
    <w:lvl w:ilvl="1" w:tplc="8F1A51CA">
      <w:start w:val="1"/>
      <w:numFmt w:val="bullet"/>
      <w:lvlText w:val="o"/>
      <w:lvlJc w:val="left"/>
      <w:pPr>
        <w:ind w:left="1440" w:hanging="360"/>
      </w:pPr>
      <w:rPr>
        <w:rFonts w:ascii="Courier New" w:hAnsi="Courier New" w:hint="default"/>
      </w:rPr>
    </w:lvl>
    <w:lvl w:ilvl="2" w:tplc="0C547862">
      <w:start w:val="1"/>
      <w:numFmt w:val="bullet"/>
      <w:lvlText w:val=""/>
      <w:lvlJc w:val="left"/>
      <w:pPr>
        <w:ind w:left="2160" w:hanging="360"/>
      </w:pPr>
      <w:rPr>
        <w:rFonts w:ascii="Wingdings" w:hAnsi="Wingdings" w:hint="default"/>
      </w:rPr>
    </w:lvl>
    <w:lvl w:ilvl="3" w:tplc="C6BA5E6C">
      <w:start w:val="1"/>
      <w:numFmt w:val="bullet"/>
      <w:lvlText w:val=""/>
      <w:lvlJc w:val="left"/>
      <w:pPr>
        <w:ind w:left="2880" w:hanging="360"/>
      </w:pPr>
      <w:rPr>
        <w:rFonts w:ascii="Symbol" w:hAnsi="Symbol" w:hint="default"/>
      </w:rPr>
    </w:lvl>
    <w:lvl w:ilvl="4" w:tplc="AD54F70C">
      <w:start w:val="1"/>
      <w:numFmt w:val="bullet"/>
      <w:lvlText w:val="o"/>
      <w:lvlJc w:val="left"/>
      <w:pPr>
        <w:ind w:left="3600" w:hanging="360"/>
      </w:pPr>
      <w:rPr>
        <w:rFonts w:ascii="Courier New" w:hAnsi="Courier New" w:hint="default"/>
      </w:rPr>
    </w:lvl>
    <w:lvl w:ilvl="5" w:tplc="2EA4D754">
      <w:start w:val="1"/>
      <w:numFmt w:val="bullet"/>
      <w:lvlText w:val=""/>
      <w:lvlJc w:val="left"/>
      <w:pPr>
        <w:ind w:left="4320" w:hanging="360"/>
      </w:pPr>
      <w:rPr>
        <w:rFonts w:ascii="Wingdings" w:hAnsi="Wingdings" w:hint="default"/>
      </w:rPr>
    </w:lvl>
    <w:lvl w:ilvl="6" w:tplc="52CE2C6E">
      <w:start w:val="1"/>
      <w:numFmt w:val="bullet"/>
      <w:lvlText w:val=""/>
      <w:lvlJc w:val="left"/>
      <w:pPr>
        <w:ind w:left="5040" w:hanging="360"/>
      </w:pPr>
      <w:rPr>
        <w:rFonts w:ascii="Symbol" w:hAnsi="Symbol" w:hint="default"/>
      </w:rPr>
    </w:lvl>
    <w:lvl w:ilvl="7" w:tplc="DB3C0BB6">
      <w:start w:val="1"/>
      <w:numFmt w:val="bullet"/>
      <w:lvlText w:val="o"/>
      <w:lvlJc w:val="left"/>
      <w:pPr>
        <w:ind w:left="5760" w:hanging="360"/>
      </w:pPr>
      <w:rPr>
        <w:rFonts w:ascii="Courier New" w:hAnsi="Courier New" w:hint="default"/>
      </w:rPr>
    </w:lvl>
    <w:lvl w:ilvl="8" w:tplc="9984D87E">
      <w:start w:val="1"/>
      <w:numFmt w:val="bullet"/>
      <w:lvlText w:val=""/>
      <w:lvlJc w:val="left"/>
      <w:pPr>
        <w:ind w:left="6480" w:hanging="360"/>
      </w:pPr>
      <w:rPr>
        <w:rFonts w:ascii="Wingdings" w:hAnsi="Wingdings" w:hint="default"/>
      </w:rPr>
    </w:lvl>
  </w:abstractNum>
  <w:abstractNum w:abstractNumId="1" w15:restartNumberingAfterBreak="0">
    <w:nsid w:val="36896BB3"/>
    <w:multiLevelType w:val="hybridMultilevel"/>
    <w:tmpl w:val="ECB0CF20"/>
    <w:lvl w:ilvl="0" w:tplc="B22028DC">
      <w:start w:val="1"/>
      <w:numFmt w:val="bullet"/>
      <w:lvlText w:val=""/>
      <w:lvlJc w:val="left"/>
      <w:pPr>
        <w:ind w:left="720" w:hanging="360"/>
      </w:pPr>
      <w:rPr>
        <w:rFonts w:ascii="Symbol" w:hAnsi="Symbol" w:hint="default"/>
      </w:rPr>
    </w:lvl>
    <w:lvl w:ilvl="1" w:tplc="0A3022AA">
      <w:start w:val="1"/>
      <w:numFmt w:val="bullet"/>
      <w:lvlText w:val="o"/>
      <w:lvlJc w:val="left"/>
      <w:pPr>
        <w:ind w:left="1440" w:hanging="360"/>
      </w:pPr>
      <w:rPr>
        <w:rFonts w:ascii="Courier New" w:hAnsi="Courier New" w:hint="default"/>
      </w:rPr>
    </w:lvl>
    <w:lvl w:ilvl="2" w:tplc="4EE8942A">
      <w:start w:val="1"/>
      <w:numFmt w:val="bullet"/>
      <w:lvlText w:val=""/>
      <w:lvlJc w:val="left"/>
      <w:pPr>
        <w:ind w:left="2160" w:hanging="360"/>
      </w:pPr>
      <w:rPr>
        <w:rFonts w:ascii="Wingdings" w:hAnsi="Wingdings" w:hint="default"/>
      </w:rPr>
    </w:lvl>
    <w:lvl w:ilvl="3" w:tplc="B7C49118">
      <w:start w:val="1"/>
      <w:numFmt w:val="bullet"/>
      <w:lvlText w:val=""/>
      <w:lvlJc w:val="left"/>
      <w:pPr>
        <w:ind w:left="2880" w:hanging="360"/>
      </w:pPr>
      <w:rPr>
        <w:rFonts w:ascii="Symbol" w:hAnsi="Symbol" w:hint="default"/>
      </w:rPr>
    </w:lvl>
    <w:lvl w:ilvl="4" w:tplc="B49A1B92">
      <w:start w:val="1"/>
      <w:numFmt w:val="bullet"/>
      <w:lvlText w:val="o"/>
      <w:lvlJc w:val="left"/>
      <w:pPr>
        <w:ind w:left="3600" w:hanging="360"/>
      </w:pPr>
      <w:rPr>
        <w:rFonts w:ascii="Courier New" w:hAnsi="Courier New" w:hint="default"/>
      </w:rPr>
    </w:lvl>
    <w:lvl w:ilvl="5" w:tplc="28824DC6">
      <w:start w:val="1"/>
      <w:numFmt w:val="bullet"/>
      <w:lvlText w:val=""/>
      <w:lvlJc w:val="left"/>
      <w:pPr>
        <w:ind w:left="4320" w:hanging="360"/>
      </w:pPr>
      <w:rPr>
        <w:rFonts w:ascii="Wingdings" w:hAnsi="Wingdings" w:hint="default"/>
      </w:rPr>
    </w:lvl>
    <w:lvl w:ilvl="6" w:tplc="1A245154">
      <w:start w:val="1"/>
      <w:numFmt w:val="bullet"/>
      <w:lvlText w:val=""/>
      <w:lvlJc w:val="left"/>
      <w:pPr>
        <w:ind w:left="5040" w:hanging="360"/>
      </w:pPr>
      <w:rPr>
        <w:rFonts w:ascii="Symbol" w:hAnsi="Symbol" w:hint="default"/>
      </w:rPr>
    </w:lvl>
    <w:lvl w:ilvl="7" w:tplc="98B60048">
      <w:start w:val="1"/>
      <w:numFmt w:val="bullet"/>
      <w:lvlText w:val="o"/>
      <w:lvlJc w:val="left"/>
      <w:pPr>
        <w:ind w:left="5760" w:hanging="360"/>
      </w:pPr>
      <w:rPr>
        <w:rFonts w:ascii="Courier New" w:hAnsi="Courier New" w:hint="default"/>
      </w:rPr>
    </w:lvl>
    <w:lvl w:ilvl="8" w:tplc="2D462DE2">
      <w:start w:val="1"/>
      <w:numFmt w:val="bullet"/>
      <w:lvlText w:val=""/>
      <w:lvlJc w:val="left"/>
      <w:pPr>
        <w:ind w:left="6480" w:hanging="360"/>
      </w:pPr>
      <w:rPr>
        <w:rFonts w:ascii="Wingdings" w:hAnsi="Wingdings" w:hint="default"/>
      </w:rPr>
    </w:lvl>
  </w:abstractNum>
  <w:abstractNum w:abstractNumId="2" w15:restartNumberingAfterBreak="0">
    <w:nsid w:val="7D493F08"/>
    <w:multiLevelType w:val="hybridMultilevel"/>
    <w:tmpl w:val="A2BC9AEC"/>
    <w:lvl w:ilvl="0" w:tplc="F17CCB20">
      <w:start w:val="1"/>
      <w:numFmt w:val="bullet"/>
      <w:lvlText w:val=""/>
      <w:lvlJc w:val="left"/>
      <w:pPr>
        <w:ind w:left="720" w:hanging="360"/>
      </w:pPr>
      <w:rPr>
        <w:rFonts w:ascii="Symbol" w:hAnsi="Symbol" w:hint="default"/>
      </w:rPr>
    </w:lvl>
    <w:lvl w:ilvl="1" w:tplc="49CEE15C">
      <w:start w:val="1"/>
      <w:numFmt w:val="bullet"/>
      <w:lvlText w:val="o"/>
      <w:lvlJc w:val="left"/>
      <w:pPr>
        <w:ind w:left="1440" w:hanging="360"/>
      </w:pPr>
      <w:rPr>
        <w:rFonts w:ascii="Courier New" w:hAnsi="Courier New" w:hint="default"/>
      </w:rPr>
    </w:lvl>
    <w:lvl w:ilvl="2" w:tplc="3E5A4D5E">
      <w:start w:val="1"/>
      <w:numFmt w:val="bullet"/>
      <w:lvlText w:val=""/>
      <w:lvlJc w:val="left"/>
      <w:pPr>
        <w:ind w:left="2160" w:hanging="360"/>
      </w:pPr>
      <w:rPr>
        <w:rFonts w:ascii="Wingdings" w:hAnsi="Wingdings" w:hint="default"/>
      </w:rPr>
    </w:lvl>
    <w:lvl w:ilvl="3" w:tplc="5D0C0770">
      <w:start w:val="1"/>
      <w:numFmt w:val="bullet"/>
      <w:lvlText w:val=""/>
      <w:lvlJc w:val="left"/>
      <w:pPr>
        <w:ind w:left="2880" w:hanging="360"/>
      </w:pPr>
      <w:rPr>
        <w:rFonts w:ascii="Symbol" w:hAnsi="Symbol" w:hint="default"/>
      </w:rPr>
    </w:lvl>
    <w:lvl w:ilvl="4" w:tplc="C3DAF8C8">
      <w:start w:val="1"/>
      <w:numFmt w:val="bullet"/>
      <w:lvlText w:val="o"/>
      <w:lvlJc w:val="left"/>
      <w:pPr>
        <w:ind w:left="3600" w:hanging="360"/>
      </w:pPr>
      <w:rPr>
        <w:rFonts w:ascii="Courier New" w:hAnsi="Courier New" w:hint="default"/>
      </w:rPr>
    </w:lvl>
    <w:lvl w:ilvl="5" w:tplc="A20C24DE">
      <w:start w:val="1"/>
      <w:numFmt w:val="bullet"/>
      <w:lvlText w:val=""/>
      <w:lvlJc w:val="left"/>
      <w:pPr>
        <w:ind w:left="4320" w:hanging="360"/>
      </w:pPr>
      <w:rPr>
        <w:rFonts w:ascii="Wingdings" w:hAnsi="Wingdings" w:hint="default"/>
      </w:rPr>
    </w:lvl>
    <w:lvl w:ilvl="6" w:tplc="E36A10C6">
      <w:start w:val="1"/>
      <w:numFmt w:val="bullet"/>
      <w:lvlText w:val=""/>
      <w:lvlJc w:val="left"/>
      <w:pPr>
        <w:ind w:left="5040" w:hanging="360"/>
      </w:pPr>
      <w:rPr>
        <w:rFonts w:ascii="Symbol" w:hAnsi="Symbol" w:hint="default"/>
      </w:rPr>
    </w:lvl>
    <w:lvl w:ilvl="7" w:tplc="C2FAA1C4">
      <w:start w:val="1"/>
      <w:numFmt w:val="bullet"/>
      <w:lvlText w:val="o"/>
      <w:lvlJc w:val="left"/>
      <w:pPr>
        <w:ind w:left="5760" w:hanging="360"/>
      </w:pPr>
      <w:rPr>
        <w:rFonts w:ascii="Courier New" w:hAnsi="Courier New" w:hint="default"/>
      </w:rPr>
    </w:lvl>
    <w:lvl w:ilvl="8" w:tplc="588A1E04">
      <w:start w:val="1"/>
      <w:numFmt w:val="bullet"/>
      <w:lvlText w:val=""/>
      <w:lvlJc w:val="left"/>
      <w:pPr>
        <w:ind w:left="6480" w:hanging="360"/>
      </w:pPr>
      <w:rPr>
        <w:rFonts w:ascii="Wingdings" w:hAnsi="Wingdings" w:hint="default"/>
      </w:rPr>
    </w:lvl>
  </w:abstractNum>
  <w:abstractNum w:abstractNumId="3" w15:restartNumberingAfterBreak="0">
    <w:nsid w:val="7EA54AB1"/>
    <w:multiLevelType w:val="hybridMultilevel"/>
    <w:tmpl w:val="36DE2DE4"/>
    <w:lvl w:ilvl="0" w:tplc="D6C83CF6">
      <w:start w:val="1"/>
      <w:numFmt w:val="bullet"/>
      <w:lvlText w:val=""/>
      <w:lvlJc w:val="left"/>
      <w:pPr>
        <w:ind w:left="720" w:hanging="360"/>
      </w:pPr>
      <w:rPr>
        <w:rFonts w:ascii="Symbol" w:hAnsi="Symbol" w:hint="default"/>
      </w:rPr>
    </w:lvl>
    <w:lvl w:ilvl="1" w:tplc="029A0DFE">
      <w:start w:val="1"/>
      <w:numFmt w:val="bullet"/>
      <w:lvlText w:val="o"/>
      <w:lvlJc w:val="left"/>
      <w:pPr>
        <w:ind w:left="1440" w:hanging="360"/>
      </w:pPr>
      <w:rPr>
        <w:rFonts w:ascii="Courier New" w:hAnsi="Courier New" w:hint="default"/>
      </w:rPr>
    </w:lvl>
    <w:lvl w:ilvl="2" w:tplc="0624E75E">
      <w:start w:val="1"/>
      <w:numFmt w:val="bullet"/>
      <w:lvlText w:val=""/>
      <w:lvlJc w:val="left"/>
      <w:pPr>
        <w:ind w:left="2160" w:hanging="360"/>
      </w:pPr>
      <w:rPr>
        <w:rFonts w:ascii="Wingdings" w:hAnsi="Wingdings" w:hint="default"/>
      </w:rPr>
    </w:lvl>
    <w:lvl w:ilvl="3" w:tplc="AB9AB0EE">
      <w:start w:val="1"/>
      <w:numFmt w:val="bullet"/>
      <w:lvlText w:val=""/>
      <w:lvlJc w:val="left"/>
      <w:pPr>
        <w:ind w:left="2880" w:hanging="360"/>
      </w:pPr>
      <w:rPr>
        <w:rFonts w:ascii="Symbol" w:hAnsi="Symbol" w:hint="default"/>
      </w:rPr>
    </w:lvl>
    <w:lvl w:ilvl="4" w:tplc="159C6BAE">
      <w:start w:val="1"/>
      <w:numFmt w:val="bullet"/>
      <w:lvlText w:val="o"/>
      <w:lvlJc w:val="left"/>
      <w:pPr>
        <w:ind w:left="3600" w:hanging="360"/>
      </w:pPr>
      <w:rPr>
        <w:rFonts w:ascii="Courier New" w:hAnsi="Courier New" w:hint="default"/>
      </w:rPr>
    </w:lvl>
    <w:lvl w:ilvl="5" w:tplc="862CDB18">
      <w:start w:val="1"/>
      <w:numFmt w:val="bullet"/>
      <w:lvlText w:val=""/>
      <w:lvlJc w:val="left"/>
      <w:pPr>
        <w:ind w:left="4320" w:hanging="360"/>
      </w:pPr>
      <w:rPr>
        <w:rFonts w:ascii="Wingdings" w:hAnsi="Wingdings" w:hint="default"/>
      </w:rPr>
    </w:lvl>
    <w:lvl w:ilvl="6" w:tplc="BD285B60">
      <w:start w:val="1"/>
      <w:numFmt w:val="bullet"/>
      <w:lvlText w:val=""/>
      <w:lvlJc w:val="left"/>
      <w:pPr>
        <w:ind w:left="5040" w:hanging="360"/>
      </w:pPr>
      <w:rPr>
        <w:rFonts w:ascii="Symbol" w:hAnsi="Symbol" w:hint="default"/>
      </w:rPr>
    </w:lvl>
    <w:lvl w:ilvl="7" w:tplc="FB82470E">
      <w:start w:val="1"/>
      <w:numFmt w:val="bullet"/>
      <w:lvlText w:val="o"/>
      <w:lvlJc w:val="left"/>
      <w:pPr>
        <w:ind w:left="5760" w:hanging="360"/>
      </w:pPr>
      <w:rPr>
        <w:rFonts w:ascii="Courier New" w:hAnsi="Courier New" w:hint="default"/>
      </w:rPr>
    </w:lvl>
    <w:lvl w:ilvl="8" w:tplc="6D6C41B6">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E3"/>
    <w:rsid w:val="000D2523"/>
    <w:rsid w:val="002D4B6E"/>
    <w:rsid w:val="003F6EE3"/>
    <w:rsid w:val="00846EF5"/>
    <w:rsid w:val="008A19A0"/>
    <w:rsid w:val="00C17F55"/>
    <w:rsid w:val="5B6BE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F870"/>
  <w14:defaultImageDpi w14:val="32767"/>
  <w15:chartTrackingRefBased/>
  <w15:docId w15:val="{65BEFA10-F127-8E4F-9480-963B5C3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6EE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F6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F6EE3"/>
  </w:style>
  <w:style w:type="character" w:customStyle="1" w:styleId="eop">
    <w:name w:val="eop"/>
    <w:basedOn w:val="DefaultParagraphFont"/>
    <w:rsid w:val="003F6EE3"/>
  </w:style>
  <w:style w:type="character" w:customStyle="1" w:styleId="spellingerror">
    <w:name w:val="spellingerror"/>
    <w:basedOn w:val="DefaultParagraphFont"/>
    <w:rsid w:val="003F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64673">
      <w:bodyDiv w:val="1"/>
      <w:marLeft w:val="0"/>
      <w:marRight w:val="0"/>
      <w:marTop w:val="0"/>
      <w:marBottom w:val="0"/>
      <w:divBdr>
        <w:top w:val="none" w:sz="0" w:space="0" w:color="auto"/>
        <w:left w:val="none" w:sz="0" w:space="0" w:color="auto"/>
        <w:bottom w:val="none" w:sz="0" w:space="0" w:color="auto"/>
        <w:right w:val="none" w:sz="0" w:space="0" w:color="auto"/>
      </w:divBdr>
      <w:divsChild>
        <w:div w:id="2122068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3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6" ma:contentTypeDescription="Create a new document." ma:contentTypeScope="" ma:versionID="fde942e2577b13d8b158bc44dcb3ecce">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74474b093c4c2dcc5b1a1ffdd869e9fb"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0ACB4-3282-4CE3-92E7-CCC1C96EEE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B47557-7216-4086-9B78-E204B5304B2B}">
  <ds:schemaRefs>
    <ds:schemaRef ds:uri="http://schemas.microsoft.com/sharepoint/v3/contenttype/forms"/>
  </ds:schemaRefs>
</ds:datastoreItem>
</file>

<file path=customXml/itemProps3.xml><?xml version="1.0" encoding="utf-8"?>
<ds:datastoreItem xmlns:ds="http://schemas.openxmlformats.org/officeDocument/2006/customXml" ds:itemID="{A387BBB1-F21C-4F08-8595-9B5F18F9E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a5ce-4b13-4929-997a-fd8c1bfe780a"/>
    <ds:schemaRef ds:uri="69aa3883-b251-412e-bf1d-acb3217d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Martinez-Paz</dc:creator>
  <cp:keywords/>
  <dc:description/>
  <cp:lastModifiedBy>Natalia Martinez-Paz</cp:lastModifiedBy>
  <cp:revision>2</cp:revision>
  <dcterms:created xsi:type="dcterms:W3CDTF">2019-06-18T21:31:00Z</dcterms:created>
  <dcterms:modified xsi:type="dcterms:W3CDTF">2019-06-18T21:31:00Z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ies>
</file>