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347D6" w14:textId="77777777" w:rsidR="003F6EE3" w:rsidRDefault="003F6EE3" w:rsidP="003F6EE3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BAB6B70" wp14:editId="424E8F00">
            <wp:simplePos x="0" y="0"/>
            <wp:positionH relativeFrom="margin">
              <wp:posOffset>1731645</wp:posOffset>
            </wp:positionH>
            <wp:positionV relativeFrom="margin">
              <wp:posOffset>-504730</wp:posOffset>
            </wp:positionV>
            <wp:extent cx="2514600" cy="754380"/>
            <wp:effectExtent l="0" t="0" r="0" b="0"/>
            <wp:wrapSquare wrapText="bothSides"/>
            <wp:docPr id="303801434" name="Picture 30380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679AA2" w14:textId="40D9EBFE" w:rsidR="003F6EE3" w:rsidRPr="00D31AEA" w:rsidRDefault="003F6EE3" w:rsidP="003F6EE3">
      <w:pP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r w:rsidRPr="00D31AEA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Hospital: </w:t>
      </w:r>
      <w:r w:rsidR="003134F2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Ocean Beach (Ilwaco, WA) </w:t>
      </w:r>
    </w:p>
    <w:p w14:paraId="57A4140A" w14:textId="323EC439" w:rsidR="003F6EE3" w:rsidRPr="00D31AEA" w:rsidRDefault="003F6EE3" w:rsidP="003F6EE3">
      <w:pP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r w:rsidRPr="00D31AEA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Presenter: </w:t>
      </w:r>
      <w:r w:rsidR="003134F2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Tara Dockery, IP </w:t>
      </w:r>
    </w:p>
    <w:p w14:paraId="4CA19FA5" w14:textId="08CF6F24" w:rsidR="003F6EE3" w:rsidRDefault="003F6EE3" w:rsidP="003F6EE3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Question/case summary: </w:t>
      </w:r>
    </w:p>
    <w:p w14:paraId="3A8D7443" w14:textId="229C4ADE" w:rsidR="003134F2" w:rsidRPr="003134F2" w:rsidRDefault="003134F2" w:rsidP="003134F2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What</w:t>
      </w:r>
      <w:r w:rsidRPr="003134F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are the “standards or guidelines” for treating a patient with bacteremia.</w:t>
      </w:r>
    </w:p>
    <w:p w14:paraId="5FB20E06" w14:textId="48C15C8B" w:rsidR="003134F2" w:rsidRPr="003134F2" w:rsidRDefault="003134F2" w:rsidP="003134F2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PA </w:t>
      </w:r>
      <w:r w:rsidRPr="003134F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had a discussion with our Pharmacist yesterday that said once the blood cultures come back negative, the treatment is complete and antibiotics should stop.</w:t>
      </w:r>
    </w:p>
    <w:p w14:paraId="026D3278" w14:textId="5D42130A" w:rsidR="003134F2" w:rsidRPr="003134F2" w:rsidRDefault="003134F2" w:rsidP="003134F2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003134F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We have another Provider (past Medical Director) who believes that the antibiotic treatment should be for two weeks, period, no matter what the cultures say.</w:t>
      </w:r>
    </w:p>
    <w:p w14:paraId="53B91D09" w14:textId="423BE80C" w:rsidR="003134F2" w:rsidRPr="003134F2" w:rsidRDefault="003134F2" w:rsidP="003134F2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003134F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Of course I discussed fever, elevated WBC and coinfection with her, but she was just asking generally, suppose there is no fever and normal WBC and no other infection.</w:t>
      </w:r>
    </w:p>
    <w:p w14:paraId="408623D6" w14:textId="13E3CD8E" w:rsidR="003134F2" w:rsidRDefault="245B72ED" w:rsidP="245B72ED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245B72ED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She would also like to know if there are standards or guidelines for how often to test – we had one provider who ordered a single blood culture daily until the culture was resulted negative. She wants to know if there is an amount of days/time when you should repeat blood cultures or not.</w:t>
      </w:r>
    </w:p>
    <w:p w14:paraId="6EBBECFE" w14:textId="77777777" w:rsidR="003F6EE3" w:rsidRDefault="003F6EE3" w:rsidP="003F6EE3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042F2E54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UW TASP Recommendations</w:t>
      </w:r>
      <w: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: </w:t>
      </w:r>
    </w:p>
    <w:p w14:paraId="3A7FB2ED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</w:rPr>
      </w:pPr>
    </w:p>
    <w:p w14:paraId="5000023E" w14:textId="525CAD5D" w:rsidR="003F6EE3" w:rsidRDefault="245B72ED" w:rsidP="245B7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</w:rPr>
      </w:pPr>
      <w:r w:rsidRPr="245B72ED">
        <w:rPr>
          <w:rStyle w:val="normaltextrun"/>
          <w:rFonts w:ascii="Calibri" w:hAnsi="Calibri" w:cs="Segoe UI"/>
          <w:color w:val="000000" w:themeColor="text1"/>
        </w:rPr>
        <w:t>Questions to determine therapy:</w:t>
      </w:r>
    </w:p>
    <w:p w14:paraId="64576463" w14:textId="6681BB78" w:rsidR="003F6EE3" w:rsidRDefault="003F6EE3" w:rsidP="245B7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</w:rPr>
      </w:pPr>
    </w:p>
    <w:p w14:paraId="43D7612A" w14:textId="1D68DFC1" w:rsidR="003F6EE3" w:rsidRDefault="245B72ED" w:rsidP="245B7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</w:pPr>
      <w:r w:rsidRPr="245B72ED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1.) Clinical Assessment:</w:t>
      </w:r>
    </w:p>
    <w:p w14:paraId="25BCC960" w14:textId="4BB3CAE2" w:rsidR="003F6EE3" w:rsidRDefault="245B72ED" w:rsidP="245B7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  <w:u w:val="single"/>
        </w:rPr>
      </w:pPr>
      <w:r w:rsidRPr="245B72ED">
        <w:rPr>
          <w:rStyle w:val="normaltextrun"/>
          <w:rFonts w:ascii="Calibri" w:hAnsi="Calibri" w:cs="Segoe UI"/>
          <w:color w:val="000000" w:themeColor="text1"/>
          <w:u w:val="single"/>
        </w:rPr>
        <w:t>Is this a Gram-positive or Gram-negative infection?</w:t>
      </w:r>
    </w:p>
    <w:p w14:paraId="06720160" w14:textId="073C0A88" w:rsidR="003F6EE3" w:rsidRDefault="245B72ED" w:rsidP="245B7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</w:rPr>
      </w:pPr>
      <w:r w:rsidRPr="245B72ED">
        <w:rPr>
          <w:rStyle w:val="normaltextrun"/>
          <w:rFonts w:ascii="Calibri" w:hAnsi="Calibri" w:cs="Segoe UI"/>
          <w:color w:val="000000" w:themeColor="text1"/>
        </w:rPr>
        <w:t xml:space="preserve">--Gram-positive organisms </w:t>
      </w:r>
    </w:p>
    <w:p w14:paraId="684194A9" w14:textId="74B36909" w:rsidR="003F6EE3" w:rsidRDefault="7E6D8FC1" w:rsidP="7E6D8F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</w:rPr>
      </w:pPr>
      <w:r w:rsidRPr="7E6D8FC1">
        <w:rPr>
          <w:rStyle w:val="normaltextrun"/>
          <w:rFonts w:ascii="Calibri" w:hAnsi="Calibri" w:cs="Segoe UI"/>
          <w:i/>
          <w:iCs/>
          <w:color w:val="000000" w:themeColor="text1"/>
        </w:rPr>
        <w:t xml:space="preserve">S. aureus: </w:t>
      </w:r>
      <w:r w:rsidRPr="7E6D8FC1">
        <w:rPr>
          <w:rStyle w:val="normaltextrun"/>
          <w:rFonts w:ascii="Calibri" w:hAnsi="Calibri" w:cs="Segoe UI"/>
          <w:color w:val="000000" w:themeColor="text1"/>
        </w:rPr>
        <w:t>at minimum 14 days and a very clear search for metastatic complications which would warrant longer treatment</w:t>
      </w:r>
    </w:p>
    <w:p w14:paraId="23E4BEC6" w14:textId="38A0C1B2" w:rsidR="003F6EE3" w:rsidRDefault="245B72ED" w:rsidP="245B7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</w:rPr>
      </w:pPr>
      <w:r w:rsidRPr="245B72ED">
        <w:rPr>
          <w:rStyle w:val="normaltextrun"/>
          <w:rFonts w:ascii="Calibri" w:hAnsi="Calibri" w:cs="Segoe UI"/>
          <w:i/>
          <w:iCs/>
          <w:color w:val="000000" w:themeColor="text1"/>
        </w:rPr>
        <w:t xml:space="preserve">S. pneumoniae: </w:t>
      </w:r>
      <w:r w:rsidRPr="245B72ED">
        <w:rPr>
          <w:rStyle w:val="normaltextrun"/>
          <w:rFonts w:ascii="Calibri" w:hAnsi="Calibri" w:cs="Segoe UI"/>
          <w:color w:val="000000" w:themeColor="text1"/>
        </w:rPr>
        <w:t>5 days is reasonable (assuming source is pneumonia)</w:t>
      </w:r>
    </w:p>
    <w:p w14:paraId="7A872C1D" w14:textId="621AEA1C" w:rsidR="003F6EE3" w:rsidRDefault="245B72ED" w:rsidP="245B7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</w:rPr>
      </w:pPr>
      <w:r w:rsidRPr="245B72ED">
        <w:rPr>
          <w:rStyle w:val="normaltextrun"/>
          <w:rFonts w:ascii="Calibri" w:hAnsi="Calibri" w:cs="Segoe UI"/>
          <w:i/>
          <w:iCs/>
          <w:color w:val="000000" w:themeColor="text1"/>
        </w:rPr>
        <w:t xml:space="preserve">Group A Strep: </w:t>
      </w:r>
      <w:r w:rsidRPr="245B72ED">
        <w:rPr>
          <w:rStyle w:val="normaltextrun"/>
          <w:rFonts w:ascii="Calibri" w:hAnsi="Calibri" w:cs="Segoe UI"/>
          <w:color w:val="000000" w:themeColor="text1"/>
        </w:rPr>
        <w:t xml:space="preserve">5-10 days </w:t>
      </w:r>
    </w:p>
    <w:p w14:paraId="3CA6B8CB" w14:textId="3F5B90A8" w:rsidR="003F6EE3" w:rsidRDefault="003F6EE3" w:rsidP="245B7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</w:rPr>
      </w:pPr>
    </w:p>
    <w:p w14:paraId="6E3CF39E" w14:textId="44F73805" w:rsidR="003F6EE3" w:rsidRDefault="245B72ED" w:rsidP="245B7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</w:rPr>
      </w:pPr>
      <w:r w:rsidRPr="245B72ED">
        <w:rPr>
          <w:rStyle w:val="normaltextrun"/>
          <w:rFonts w:ascii="Calibri" w:hAnsi="Calibri" w:cs="Segoe UI"/>
          <w:color w:val="000000" w:themeColor="text1"/>
        </w:rPr>
        <w:t xml:space="preserve">--Gram negative organisms (e.g. Enterobacteriaceae like </w:t>
      </w:r>
      <w:r w:rsidRPr="245B72ED">
        <w:rPr>
          <w:rStyle w:val="normaltextrun"/>
          <w:rFonts w:ascii="Calibri" w:hAnsi="Calibri" w:cs="Segoe UI"/>
          <w:i/>
          <w:iCs/>
          <w:color w:val="000000" w:themeColor="text1"/>
        </w:rPr>
        <w:t>E. coli</w:t>
      </w:r>
      <w:r w:rsidRPr="245B72ED">
        <w:rPr>
          <w:rStyle w:val="normaltextrun"/>
          <w:rFonts w:ascii="Calibri" w:hAnsi="Calibri" w:cs="Segoe UI"/>
          <w:color w:val="000000" w:themeColor="text1"/>
        </w:rPr>
        <w:t xml:space="preserve">, </w:t>
      </w:r>
      <w:r w:rsidRPr="245B72ED">
        <w:rPr>
          <w:rStyle w:val="normaltextrun"/>
          <w:rFonts w:ascii="Calibri" w:hAnsi="Calibri" w:cs="Segoe UI"/>
          <w:i/>
          <w:iCs/>
          <w:color w:val="000000" w:themeColor="text1"/>
        </w:rPr>
        <w:t>K. pneumoniae</w:t>
      </w:r>
      <w:r w:rsidRPr="245B72ED">
        <w:rPr>
          <w:rStyle w:val="normaltextrun"/>
          <w:rFonts w:ascii="Calibri" w:hAnsi="Calibri" w:cs="Segoe UI"/>
          <w:color w:val="000000" w:themeColor="text1"/>
        </w:rPr>
        <w:t>): 7 days</w:t>
      </w:r>
      <w:r w:rsidRPr="245B72ED">
        <w:rPr>
          <w:rStyle w:val="normaltextrun"/>
          <w:rFonts w:ascii="Calibri" w:hAnsi="Calibri" w:cs="Segoe UI"/>
          <w:color w:val="000000" w:themeColor="text1"/>
          <w:vertAlign w:val="superscript"/>
        </w:rPr>
        <w:t>1</w:t>
      </w:r>
    </w:p>
    <w:p w14:paraId="7A1B9403" w14:textId="27B5D5E0" w:rsidR="003F6EE3" w:rsidRDefault="003F6EE3" w:rsidP="245B7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</w:rPr>
      </w:pPr>
    </w:p>
    <w:p w14:paraId="1A4B19D9" w14:textId="3218335E" w:rsidR="003F6EE3" w:rsidRDefault="245B72ED" w:rsidP="245B7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</w:rPr>
      </w:pPr>
      <w:r w:rsidRPr="245B72ED">
        <w:rPr>
          <w:rStyle w:val="normaltextrun"/>
          <w:rFonts w:ascii="Calibri" w:hAnsi="Calibri" w:cs="Segoe UI"/>
          <w:color w:val="000000" w:themeColor="text1"/>
          <w:u w:val="single"/>
        </w:rPr>
        <w:t>What is the source of infection?</w:t>
      </w:r>
      <w:r w:rsidR="003F6EE3">
        <w:br/>
      </w:r>
      <w:r w:rsidRPr="245B72ED">
        <w:rPr>
          <w:rStyle w:val="normaltextrun"/>
          <w:rFonts w:ascii="Calibri" w:hAnsi="Calibri" w:cs="Segoe UI"/>
          <w:color w:val="000000" w:themeColor="text1"/>
        </w:rPr>
        <w:t>--Endocarditis: Confirm and document blood culture clearance with repeat blood cultures</w:t>
      </w:r>
    </w:p>
    <w:p w14:paraId="2A7E6BAA" w14:textId="4788CA75" w:rsidR="003F6EE3" w:rsidRDefault="245B72ED" w:rsidP="245B7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</w:rPr>
      </w:pPr>
      <w:r w:rsidRPr="245B72ED">
        <w:rPr>
          <w:rStyle w:val="normaltextrun"/>
          <w:rFonts w:ascii="Calibri" w:hAnsi="Calibri" w:cs="Segoe UI"/>
          <w:color w:val="000000" w:themeColor="text1"/>
        </w:rPr>
        <w:t>--68% of Gram-negative bacteremia is related to a urinary source ~10% is related to intra-abdominal source. If this source is controlled, then 7 days is an appropriate duration</w:t>
      </w:r>
    </w:p>
    <w:p w14:paraId="75BA2DA9" w14:textId="6D1F8F9E" w:rsidR="003F6EE3" w:rsidRDefault="003F6EE3" w:rsidP="245B7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</w:rPr>
      </w:pPr>
    </w:p>
    <w:p w14:paraId="4253BF39" w14:textId="2BE7D428" w:rsidR="003F6EE3" w:rsidRDefault="245B72ED" w:rsidP="245B7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  <w:u w:val="single"/>
        </w:rPr>
      </w:pPr>
      <w:r w:rsidRPr="245B72ED">
        <w:rPr>
          <w:rStyle w:val="normaltextrun"/>
          <w:rFonts w:ascii="Calibri" w:hAnsi="Calibri" w:cs="Segoe UI"/>
          <w:color w:val="000000" w:themeColor="text1"/>
          <w:u w:val="single"/>
        </w:rPr>
        <w:t>Is the patient clinically improved?</w:t>
      </w:r>
    </w:p>
    <w:p w14:paraId="76D6F167" w14:textId="3904AA68" w:rsidR="003F6EE3" w:rsidRDefault="245B72ED" w:rsidP="245B7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  <w:u w:val="single"/>
        </w:rPr>
      </w:pPr>
      <w:r w:rsidRPr="245B72ED">
        <w:rPr>
          <w:rStyle w:val="normaltextrun"/>
          <w:rFonts w:ascii="Calibri" w:hAnsi="Calibri" w:cs="Segoe UI"/>
          <w:color w:val="000000" w:themeColor="text1"/>
        </w:rPr>
        <w:t>Yes: no need to repeat blood cultures (assuming meets criteria above)</w:t>
      </w:r>
    </w:p>
    <w:p w14:paraId="13067ED8" w14:textId="41D015F7" w:rsidR="003F6EE3" w:rsidRDefault="245B72ED" w:rsidP="245B7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</w:rPr>
      </w:pPr>
      <w:r w:rsidRPr="245B72ED">
        <w:rPr>
          <w:rStyle w:val="normaltextrun"/>
          <w:rFonts w:ascii="Calibri" w:hAnsi="Calibri" w:cs="Segoe UI"/>
          <w:color w:val="000000" w:themeColor="text1"/>
        </w:rPr>
        <w:lastRenderedPageBreak/>
        <w:t>No: ongoing fevers +/- leukocytosis, consider repeating blood cultures</w:t>
      </w:r>
      <w:r w:rsidR="003F6EE3">
        <w:br/>
      </w:r>
    </w:p>
    <w:p w14:paraId="71CC6997" w14:textId="53E2CDFB" w:rsidR="003F6EE3" w:rsidRDefault="245B72ED" w:rsidP="245B7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000000" w:themeColor="text1"/>
        </w:rPr>
      </w:pPr>
      <w:r w:rsidRPr="245B72ED">
        <w:rPr>
          <w:rStyle w:val="normaltextrun"/>
          <w:rFonts w:ascii="Calibri" w:hAnsi="Calibri" w:cs="Segoe UI"/>
          <w:b/>
          <w:bCs/>
          <w:color w:val="000000" w:themeColor="text1"/>
        </w:rPr>
        <w:t>2.) Diagnostic Assessment: How often do you need to repeat blood cultures</w:t>
      </w:r>
    </w:p>
    <w:p w14:paraId="3E839A0F" w14:textId="0048D2CD" w:rsidR="245B72ED" w:rsidRDefault="245B72ED" w:rsidP="245B72ED">
      <w:pPr>
        <w:pStyle w:val="paragraph"/>
        <w:spacing w:before="0" w:beforeAutospacing="0" w:after="0" w:afterAutospacing="0"/>
        <w:rPr>
          <w:rStyle w:val="normaltextrun"/>
          <w:rFonts w:ascii="Calibri" w:hAnsi="Calibri" w:cs="Segoe UI"/>
          <w:color w:val="000000" w:themeColor="text1"/>
        </w:rPr>
      </w:pPr>
      <w:r w:rsidRPr="245B72ED">
        <w:rPr>
          <w:rStyle w:val="normaltextrun"/>
          <w:rFonts w:ascii="Calibri" w:hAnsi="Calibri" w:cs="Segoe UI"/>
          <w:color w:val="000000" w:themeColor="text1"/>
          <w:u w:val="single"/>
        </w:rPr>
        <w:t>Initial cultures:</w:t>
      </w:r>
      <w:r w:rsidRPr="245B72ED">
        <w:rPr>
          <w:rStyle w:val="normaltextrun"/>
          <w:rFonts w:ascii="Calibri" w:hAnsi="Calibri" w:cs="Segoe UI"/>
          <w:color w:val="000000" w:themeColor="text1"/>
        </w:rPr>
        <w:t xml:space="preserve"> </w:t>
      </w:r>
    </w:p>
    <w:p w14:paraId="75C42E0F" w14:textId="1725D8E5" w:rsidR="245B72ED" w:rsidRDefault="245B72ED" w:rsidP="245B72ED">
      <w:pPr>
        <w:pStyle w:val="paragraph"/>
        <w:spacing w:before="0" w:beforeAutospacing="0" w:after="0" w:afterAutospacing="0"/>
        <w:rPr>
          <w:rStyle w:val="normaltextrun"/>
          <w:rFonts w:ascii="Calibri" w:hAnsi="Calibri" w:cs="Segoe UI"/>
          <w:color w:val="000000" w:themeColor="text1"/>
        </w:rPr>
      </w:pPr>
      <w:r w:rsidRPr="245B72ED">
        <w:rPr>
          <w:rStyle w:val="normaltextrun"/>
          <w:rFonts w:ascii="Calibri" w:hAnsi="Calibri" w:cs="Segoe UI"/>
          <w:color w:val="000000" w:themeColor="text1"/>
        </w:rPr>
        <w:t>--Obtain, at a minimum 2 sets of blood cultures</w:t>
      </w:r>
    </w:p>
    <w:p w14:paraId="3513CC23" w14:textId="7E3EE04C" w:rsidR="245B72ED" w:rsidRDefault="245B72ED" w:rsidP="245B72ED">
      <w:pPr>
        <w:pStyle w:val="paragraph"/>
        <w:spacing w:before="0" w:beforeAutospacing="0" w:after="0" w:afterAutospacing="0"/>
        <w:rPr>
          <w:rStyle w:val="normaltextrun"/>
          <w:rFonts w:ascii="Calibri" w:hAnsi="Calibri" w:cs="Segoe UI"/>
          <w:color w:val="000000" w:themeColor="text1"/>
        </w:rPr>
      </w:pPr>
      <w:r w:rsidRPr="245B72ED">
        <w:rPr>
          <w:rStyle w:val="normaltextrun"/>
          <w:rFonts w:ascii="Calibri" w:hAnsi="Calibri" w:cs="Segoe UI"/>
          <w:color w:val="000000" w:themeColor="text1"/>
        </w:rPr>
        <w:t>--1 set 60-70% sensitivity &amp; difficult to determine if the patient grew a contaminant</w:t>
      </w:r>
    </w:p>
    <w:p w14:paraId="3B0F79D7" w14:textId="088A8DA4" w:rsidR="245B72ED" w:rsidRDefault="245B72ED" w:rsidP="245B72ED">
      <w:pPr>
        <w:pStyle w:val="paragraph"/>
        <w:spacing w:before="0" w:beforeAutospacing="0" w:after="0" w:afterAutospacing="0"/>
        <w:rPr>
          <w:rStyle w:val="normaltextrun"/>
          <w:rFonts w:ascii="Calibri" w:hAnsi="Calibri" w:cs="Segoe UI"/>
          <w:color w:val="000000" w:themeColor="text1"/>
        </w:rPr>
      </w:pPr>
      <w:r w:rsidRPr="245B72ED">
        <w:rPr>
          <w:rStyle w:val="normaltextrun"/>
          <w:rFonts w:ascii="Calibri" w:hAnsi="Calibri" w:cs="Segoe UI"/>
          <w:color w:val="000000" w:themeColor="text1"/>
        </w:rPr>
        <w:t xml:space="preserve">--2 sets ~80% sensitivity, 3 sets ~90% sensitivity, 4 sets – negligible increase in diagnostic sensitivity </w:t>
      </w:r>
    </w:p>
    <w:p w14:paraId="7EB55481" w14:textId="26A56922" w:rsidR="245B72ED" w:rsidRDefault="245B72ED" w:rsidP="245B72ED">
      <w:pPr>
        <w:pStyle w:val="paragraph"/>
        <w:spacing w:before="0" w:beforeAutospacing="0" w:after="0" w:afterAutospacing="0"/>
        <w:rPr>
          <w:rStyle w:val="normaltextrun"/>
          <w:rFonts w:ascii="Calibri" w:hAnsi="Calibri" w:cs="Segoe UI"/>
          <w:color w:val="000000" w:themeColor="text1"/>
        </w:rPr>
      </w:pPr>
      <w:r w:rsidRPr="245B72ED">
        <w:rPr>
          <w:rStyle w:val="normaltextrun"/>
          <w:rFonts w:ascii="Calibri" w:hAnsi="Calibri" w:cs="Segoe UI"/>
          <w:color w:val="000000" w:themeColor="text1"/>
        </w:rPr>
        <w:t>--Pediatrics: Obtain Anaerobic and Aerobic sets, blood volume is a limitation</w:t>
      </w:r>
    </w:p>
    <w:p w14:paraId="2AD1E47E" w14:textId="253F363C" w:rsidR="245B72ED" w:rsidRDefault="245B72ED" w:rsidP="245B72ED">
      <w:pPr>
        <w:pStyle w:val="paragraph"/>
        <w:spacing w:before="0" w:beforeAutospacing="0" w:after="0" w:afterAutospacing="0"/>
        <w:rPr>
          <w:rStyle w:val="normaltextrun"/>
          <w:rFonts w:ascii="Calibri" w:hAnsi="Calibri" w:cs="Segoe UI"/>
          <w:color w:val="000000" w:themeColor="text1"/>
        </w:rPr>
      </w:pPr>
    </w:p>
    <w:p w14:paraId="16684511" w14:textId="59166248" w:rsidR="245B72ED" w:rsidRDefault="245B72ED" w:rsidP="245B72ED">
      <w:pPr>
        <w:pStyle w:val="paragraph"/>
        <w:spacing w:before="0" w:beforeAutospacing="0" w:after="0" w:afterAutospacing="0"/>
        <w:rPr>
          <w:rStyle w:val="normaltextrun"/>
          <w:rFonts w:ascii="Calibri" w:hAnsi="Calibri" w:cs="Segoe UI"/>
          <w:color w:val="000000" w:themeColor="text1"/>
          <w:u w:val="single"/>
        </w:rPr>
      </w:pPr>
      <w:r w:rsidRPr="245B72ED">
        <w:rPr>
          <w:rStyle w:val="normaltextrun"/>
          <w:rFonts w:ascii="Calibri" w:hAnsi="Calibri" w:cs="Segoe UI"/>
          <w:color w:val="000000" w:themeColor="text1"/>
          <w:u w:val="single"/>
        </w:rPr>
        <w:t>Repeating blood cultures:</w:t>
      </w:r>
      <w:r w:rsidRPr="245B72ED">
        <w:rPr>
          <w:rStyle w:val="normaltextrun"/>
          <w:rFonts w:ascii="Calibri" w:hAnsi="Calibri" w:cs="Segoe UI"/>
          <w:color w:val="000000" w:themeColor="text1"/>
        </w:rPr>
        <w:t xml:space="preserve"> </w:t>
      </w:r>
    </w:p>
    <w:p w14:paraId="268C3A0D" w14:textId="310AFD00" w:rsidR="245B72ED" w:rsidRDefault="245B72ED" w:rsidP="245B72ED">
      <w:pPr>
        <w:pStyle w:val="paragraph"/>
        <w:spacing w:before="0" w:beforeAutospacing="0" w:after="0" w:afterAutospacing="0"/>
        <w:rPr>
          <w:rStyle w:val="normaltextrun"/>
          <w:rFonts w:ascii="Calibri" w:hAnsi="Calibri" w:cs="Segoe UI"/>
          <w:color w:val="000000" w:themeColor="text1"/>
        </w:rPr>
      </w:pPr>
      <w:r w:rsidRPr="245B72ED">
        <w:rPr>
          <w:rStyle w:val="normaltextrun"/>
          <w:rFonts w:ascii="Calibri" w:hAnsi="Calibri" w:cs="Segoe UI"/>
          <w:color w:val="000000" w:themeColor="text1"/>
        </w:rPr>
        <w:t>--If symptoms resolved, pt afebrile, no need to repeat after initial presentation</w:t>
      </w:r>
    </w:p>
    <w:p w14:paraId="72E3C54F" w14:textId="13C6DB78" w:rsidR="245B72ED" w:rsidRDefault="245B72ED" w:rsidP="245B72ED">
      <w:pPr>
        <w:pStyle w:val="paragraph"/>
        <w:spacing w:before="0" w:beforeAutospacing="0" w:after="0" w:afterAutospacing="0"/>
        <w:rPr>
          <w:rStyle w:val="normaltextrun"/>
          <w:rFonts w:ascii="Calibri" w:hAnsi="Calibri" w:cs="Segoe UI"/>
          <w:color w:val="000000" w:themeColor="text1"/>
        </w:rPr>
      </w:pPr>
      <w:r w:rsidRPr="245B72ED">
        <w:rPr>
          <w:rStyle w:val="normaltextrun"/>
          <w:rFonts w:ascii="Calibri" w:hAnsi="Calibri" w:cs="Segoe UI"/>
          <w:color w:val="000000" w:themeColor="text1"/>
        </w:rPr>
        <w:t xml:space="preserve">--If initial positive blood culture with </w:t>
      </w:r>
      <w:r w:rsidRPr="245B72ED">
        <w:rPr>
          <w:rStyle w:val="normaltextrun"/>
          <w:rFonts w:ascii="Calibri" w:hAnsi="Calibri" w:cs="Segoe UI"/>
          <w:i/>
          <w:iCs/>
          <w:color w:val="000000" w:themeColor="text1"/>
        </w:rPr>
        <w:t>S. aureus</w:t>
      </w:r>
      <w:r w:rsidRPr="245B72ED">
        <w:rPr>
          <w:rStyle w:val="normaltextrun"/>
          <w:rFonts w:ascii="Calibri" w:hAnsi="Calibri" w:cs="Segoe UI"/>
          <w:color w:val="000000" w:themeColor="text1"/>
        </w:rPr>
        <w:t xml:space="preserve">, repeat q 24-48h until cultures are negative. </w:t>
      </w:r>
    </w:p>
    <w:p w14:paraId="296CDFB7" w14:textId="716C20FB" w:rsidR="245B72ED" w:rsidRDefault="245B72ED" w:rsidP="245B72ED">
      <w:pPr>
        <w:pStyle w:val="paragraph"/>
        <w:spacing w:before="0" w:beforeAutospacing="0" w:after="0" w:afterAutospacing="0"/>
        <w:rPr>
          <w:rStyle w:val="normaltextrun"/>
          <w:rFonts w:ascii="Calibri" w:hAnsi="Calibri" w:cs="Segoe UI"/>
          <w:color w:val="000000" w:themeColor="text1"/>
        </w:rPr>
      </w:pPr>
      <w:r w:rsidRPr="245B72ED">
        <w:rPr>
          <w:rStyle w:val="normaltextrun"/>
          <w:rFonts w:ascii="Calibri" w:hAnsi="Calibri" w:cs="Segoe UI"/>
          <w:color w:val="000000" w:themeColor="text1"/>
        </w:rPr>
        <w:t xml:space="preserve">--Need to confirm blood culture clearance clinically in all </w:t>
      </w:r>
      <w:r w:rsidRPr="245B72ED">
        <w:rPr>
          <w:rStyle w:val="normaltextrun"/>
          <w:rFonts w:ascii="Calibri" w:hAnsi="Calibri" w:cs="Segoe UI"/>
          <w:i/>
          <w:iCs/>
          <w:color w:val="000000" w:themeColor="text1"/>
        </w:rPr>
        <w:t xml:space="preserve">S. aureus </w:t>
      </w:r>
      <w:r w:rsidRPr="245B72ED">
        <w:rPr>
          <w:rStyle w:val="normaltextrun"/>
          <w:rFonts w:ascii="Calibri" w:hAnsi="Calibri" w:cs="Segoe UI"/>
          <w:color w:val="000000" w:themeColor="text1"/>
        </w:rPr>
        <w:t>blood stream infections</w:t>
      </w:r>
    </w:p>
    <w:p w14:paraId="3991D281" w14:textId="5E5DC0A1" w:rsidR="245B72ED" w:rsidRDefault="245B72ED" w:rsidP="245B72ED">
      <w:pPr>
        <w:pStyle w:val="paragraph"/>
        <w:spacing w:before="0" w:beforeAutospacing="0" w:after="0" w:afterAutospacing="0"/>
        <w:rPr>
          <w:rStyle w:val="normaltextrun"/>
          <w:rFonts w:ascii="Calibri" w:hAnsi="Calibri" w:cs="Segoe UI"/>
          <w:color w:val="000000" w:themeColor="text1"/>
        </w:rPr>
      </w:pPr>
      <w:r w:rsidRPr="245B72ED">
        <w:rPr>
          <w:rStyle w:val="normaltextrun"/>
          <w:rFonts w:ascii="Calibri" w:hAnsi="Calibri" w:cs="Segoe UI"/>
          <w:color w:val="000000" w:themeColor="text1"/>
        </w:rPr>
        <w:t>--If initial positive blood culture non-</w:t>
      </w:r>
      <w:r w:rsidRPr="245B72ED">
        <w:rPr>
          <w:rStyle w:val="normaltextrun"/>
          <w:rFonts w:ascii="Calibri" w:hAnsi="Calibri" w:cs="Segoe UI"/>
          <w:i/>
          <w:iCs/>
          <w:color w:val="000000" w:themeColor="text1"/>
        </w:rPr>
        <w:t xml:space="preserve">S. aureus, </w:t>
      </w:r>
      <w:r w:rsidRPr="245B72ED">
        <w:rPr>
          <w:rStyle w:val="normaltextrun"/>
          <w:rFonts w:ascii="Calibri" w:hAnsi="Calibri" w:cs="Segoe UI"/>
          <w:color w:val="000000" w:themeColor="text1"/>
        </w:rPr>
        <w:t>and patient is clinically improved, then repeating cultures for clearance is unnecessary</w:t>
      </w:r>
    </w:p>
    <w:p w14:paraId="7F3A6E0C" w14:textId="50D6EF49" w:rsidR="245B72ED" w:rsidRDefault="245B72ED" w:rsidP="245B72ED">
      <w:pPr>
        <w:pStyle w:val="paragraph"/>
        <w:spacing w:before="0" w:beforeAutospacing="0" w:after="0" w:afterAutospacing="0"/>
        <w:rPr>
          <w:rStyle w:val="normaltextrun"/>
          <w:rFonts w:ascii="Calibri" w:hAnsi="Calibri" w:cs="Segoe UI"/>
          <w:color w:val="000000" w:themeColor="text1"/>
        </w:rPr>
      </w:pPr>
    </w:p>
    <w:p w14:paraId="3221B140" w14:textId="7ECE4A57" w:rsidR="245B72ED" w:rsidRDefault="245B72ED" w:rsidP="245B72ED">
      <w:pPr>
        <w:pStyle w:val="paragraph"/>
        <w:spacing w:before="0" w:beforeAutospacing="0" w:after="0" w:afterAutospacing="0"/>
        <w:rPr>
          <w:rStyle w:val="normaltextrun"/>
          <w:rFonts w:ascii="Calibri" w:hAnsi="Calibri" w:cs="Segoe UI"/>
          <w:b/>
          <w:bCs/>
          <w:color w:val="000000" w:themeColor="text1"/>
        </w:rPr>
      </w:pPr>
      <w:r w:rsidRPr="245B72ED">
        <w:rPr>
          <w:rStyle w:val="normaltextrun"/>
          <w:rFonts w:ascii="Calibri" w:hAnsi="Calibri" w:cs="Segoe UI"/>
          <w:b/>
          <w:bCs/>
          <w:color w:val="000000" w:themeColor="text1"/>
        </w:rPr>
        <w:t>3.) Treatment</w:t>
      </w:r>
    </w:p>
    <w:p w14:paraId="1B979C24" w14:textId="7631CD2E" w:rsidR="245B72ED" w:rsidRDefault="245B72ED" w:rsidP="245B72ED">
      <w:pPr>
        <w:pStyle w:val="paragraph"/>
        <w:spacing w:before="0" w:beforeAutospacing="0" w:after="0" w:afterAutospacing="0"/>
        <w:rPr>
          <w:rStyle w:val="normaltextrun"/>
          <w:rFonts w:ascii="Calibri" w:hAnsi="Calibri" w:cs="Segoe UI"/>
          <w:color w:val="000000" w:themeColor="text1"/>
        </w:rPr>
      </w:pPr>
      <w:r w:rsidRPr="245B72ED">
        <w:rPr>
          <w:rStyle w:val="normaltextrun"/>
          <w:rFonts w:ascii="Calibri" w:hAnsi="Calibri" w:cs="Segoe UI"/>
          <w:color w:val="000000" w:themeColor="text1"/>
          <w:u w:val="single"/>
        </w:rPr>
        <w:t>IV vs. PO</w:t>
      </w:r>
      <w:r>
        <w:br/>
      </w:r>
      <w:r w:rsidRPr="245B72ED">
        <w:rPr>
          <w:rStyle w:val="normaltextrun"/>
          <w:rFonts w:ascii="Calibri" w:hAnsi="Calibri" w:cs="Segoe UI"/>
          <w:color w:val="000000" w:themeColor="text1"/>
        </w:rPr>
        <w:t>--Highly bioavailable PO agents (i.e. fluoroquinolones) may be used to treat after antimicrobial susceptibility is confirmed and no issues with GI absorption</w:t>
      </w:r>
    </w:p>
    <w:p w14:paraId="49FBB14D" w14:textId="77777777" w:rsidR="003F6EE3" w:rsidRDefault="003F6EE3" w:rsidP="245B7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</w:rPr>
      </w:pPr>
    </w:p>
    <w:p w14:paraId="054ACA2F" w14:textId="78C6F090" w:rsidR="003F6EE3" w:rsidRDefault="245B72ED" w:rsidP="245B72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000000" w:themeColor="text1"/>
        </w:rPr>
      </w:pPr>
      <w:r w:rsidRPr="245B72ED">
        <w:rPr>
          <w:rStyle w:val="normaltextrun"/>
          <w:rFonts w:ascii="Calibri" w:hAnsi="Calibri" w:cs="Segoe UI"/>
          <w:b/>
          <w:bCs/>
          <w:color w:val="000000" w:themeColor="text1"/>
        </w:rPr>
        <w:t>References:</w:t>
      </w:r>
    </w:p>
    <w:p w14:paraId="4B538342" w14:textId="78B42299" w:rsidR="003F6EE3" w:rsidRDefault="245B72ED" w:rsidP="245B72E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bCs/>
        </w:rPr>
      </w:pPr>
      <w:r w:rsidRPr="245B72ED">
        <w:rPr>
          <w:rFonts w:ascii="Calibri body" w:eastAsia="Calibri body" w:hAnsi="Calibri body" w:cs="Calibri body"/>
          <w:b/>
          <w:bCs/>
        </w:rPr>
        <w:t>Yahav</w:t>
      </w:r>
      <w:r w:rsidRPr="245B72ED">
        <w:rPr>
          <w:rFonts w:ascii="Calibri body" w:eastAsia="Calibri body" w:hAnsi="Calibri body" w:cs="Calibri body"/>
        </w:rPr>
        <w:t xml:space="preserve"> D, Franceschini E, Koppel F, et al. Seven versus fourteen Days of Antibiotic Therapy for uncomplicated Gram-negative Bacteremia: A Non-inferiority Randomized Controlled Trial. Clin Infect Dis. 2018 Dec 11. doi: 10.1093/cid/ciy1054. </w:t>
      </w:r>
    </w:p>
    <w:p w14:paraId="382ADD82" w14:textId="111612EE" w:rsidR="003F6EE3" w:rsidRDefault="003F6EE3" w:rsidP="245B72ED">
      <w:pPr>
        <w:pStyle w:val="paragraph"/>
        <w:spacing w:before="0" w:beforeAutospacing="0" w:after="0" w:afterAutospacing="0"/>
        <w:ind w:left="360"/>
        <w:textAlignment w:val="baseline"/>
        <w:rPr>
          <w:rFonts w:ascii="Arial" w:eastAsia="Arial" w:hAnsi="Arial" w:cs="Arial"/>
        </w:rPr>
      </w:pPr>
    </w:p>
    <w:p w14:paraId="08C5DD79" w14:textId="5E8BFAC5" w:rsidR="245B72ED" w:rsidRDefault="245B72ED" w:rsidP="245B72ED">
      <w:pPr>
        <w:pStyle w:val="paragraph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 wp14:anchorId="460AF93B" wp14:editId="074E547D">
            <wp:extent cx="5686425" cy="4241125"/>
            <wp:effectExtent l="0" t="0" r="0" b="0"/>
            <wp:docPr id="2121109441" name="Picture 2121109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24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0AFB5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</w:rPr>
      </w:pPr>
    </w:p>
    <w:p w14:paraId="14717DE9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</w:rPr>
      </w:pPr>
    </w:p>
    <w:p w14:paraId="60F80E3D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</w:rPr>
        <w:t>On behalf of the UW TASP Specialist Team:  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14:paraId="274715A6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14:paraId="6D1652D3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i/>
          <w:iCs/>
          <w:color w:val="000000"/>
        </w:rPr>
        <w:t>John Lynch, MD MPH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14:paraId="0C745A79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i/>
          <w:iCs/>
          <w:color w:val="000000"/>
        </w:rPr>
        <w:t>Chloe Bryson-Cahn, MD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14:paraId="66BF8422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i/>
          <w:iCs/>
          <w:color w:val="000000"/>
        </w:rPr>
        <w:t>Jeannie Chan, PharmD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14:paraId="5C3D04AF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i/>
          <w:iCs/>
          <w:color w:val="000000"/>
        </w:rPr>
        <w:t>Zahra </w:t>
      </w:r>
      <w:r>
        <w:rPr>
          <w:rStyle w:val="spellingerror"/>
          <w:rFonts w:ascii="Calibri" w:hAnsi="Calibri" w:cs="Segoe UI"/>
          <w:i/>
          <w:iCs/>
          <w:color w:val="000000"/>
        </w:rPr>
        <w:t>Kassamali</w:t>
      </w:r>
      <w:r>
        <w:rPr>
          <w:rStyle w:val="normaltextrun"/>
          <w:rFonts w:ascii="Calibri" w:hAnsi="Calibri" w:cs="Segoe UI"/>
          <w:i/>
          <w:iCs/>
          <w:color w:val="000000"/>
        </w:rPr>
        <w:t> Escobar, PharmD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14:paraId="2BE9A2D7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i/>
          <w:iCs/>
          <w:color w:val="000000"/>
        </w:rPr>
        <w:t>Rupali Jain, PharmD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14:paraId="3D18CFD9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i/>
          <w:iCs/>
          <w:color w:val="000000"/>
        </w:rPr>
        <w:t>Paul Pottinger, MD FIDSA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14:paraId="7BEA8514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14:paraId="6F005AE1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20"/>
          <w:szCs w:val="20"/>
        </w:rPr>
        <w:t>PLEASE NOTE that UW TASP case consultations do </w:t>
      </w:r>
      <w:r>
        <w:rPr>
          <w:rStyle w:val="normaltextrun"/>
          <w:rFonts w:ascii="Calibri" w:hAnsi="Calibri" w:cs="Segoe UI"/>
          <w:color w:val="000000"/>
          <w:sz w:val="20"/>
          <w:szCs w:val="20"/>
          <w:u w:val="single"/>
        </w:rPr>
        <w:t>not</w:t>
      </w:r>
      <w:r>
        <w:rPr>
          <w:rStyle w:val="normaltextrun"/>
          <w:rFonts w:ascii="Calibri" w:hAnsi="Calibri" w:cs="Segoe UI"/>
          <w:color w:val="000000"/>
          <w:sz w:val="20"/>
          <w:szCs w:val="20"/>
        </w:rPr>
        <w:t> create or otherwise establish a provider-patient relationship between any UW Medicine Health Care Professional and any patient whose case is being presented in a UW TASP setting.  A provider-patient relationship between a UW Medicine Health Care Professional and a patient whose case was presented at UW TASP may later be established if the patient is referred and seen in the context of a regular appointment with the UW Medicine Health Care Professional. 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14:paraId="51DA9038" w14:textId="77777777" w:rsidR="00C17F55" w:rsidRDefault="00C17F55"/>
    <w:sectPr w:rsidR="00C17F55" w:rsidSect="000D2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C25C8"/>
    <w:multiLevelType w:val="hybridMultilevel"/>
    <w:tmpl w:val="4A620262"/>
    <w:lvl w:ilvl="0" w:tplc="C92E9144">
      <w:start w:val="1"/>
      <w:numFmt w:val="decimal"/>
      <w:lvlText w:val="%1."/>
      <w:lvlJc w:val="left"/>
      <w:pPr>
        <w:ind w:left="720" w:hanging="360"/>
      </w:pPr>
    </w:lvl>
    <w:lvl w:ilvl="1" w:tplc="6A3880EA">
      <w:start w:val="1"/>
      <w:numFmt w:val="lowerLetter"/>
      <w:lvlText w:val="%2."/>
      <w:lvlJc w:val="left"/>
      <w:pPr>
        <w:ind w:left="1440" w:hanging="360"/>
      </w:pPr>
    </w:lvl>
    <w:lvl w:ilvl="2" w:tplc="1CEAC06C">
      <w:start w:val="1"/>
      <w:numFmt w:val="lowerRoman"/>
      <w:lvlText w:val="%3."/>
      <w:lvlJc w:val="right"/>
      <w:pPr>
        <w:ind w:left="2160" w:hanging="180"/>
      </w:pPr>
    </w:lvl>
    <w:lvl w:ilvl="3" w:tplc="735C0298">
      <w:start w:val="1"/>
      <w:numFmt w:val="decimal"/>
      <w:lvlText w:val="%4."/>
      <w:lvlJc w:val="left"/>
      <w:pPr>
        <w:ind w:left="2880" w:hanging="360"/>
      </w:pPr>
    </w:lvl>
    <w:lvl w:ilvl="4" w:tplc="CA3606C8">
      <w:start w:val="1"/>
      <w:numFmt w:val="lowerLetter"/>
      <w:lvlText w:val="%5."/>
      <w:lvlJc w:val="left"/>
      <w:pPr>
        <w:ind w:left="3600" w:hanging="360"/>
      </w:pPr>
    </w:lvl>
    <w:lvl w:ilvl="5" w:tplc="7F185320">
      <w:start w:val="1"/>
      <w:numFmt w:val="lowerRoman"/>
      <w:lvlText w:val="%6."/>
      <w:lvlJc w:val="right"/>
      <w:pPr>
        <w:ind w:left="4320" w:hanging="180"/>
      </w:pPr>
    </w:lvl>
    <w:lvl w:ilvl="6" w:tplc="52E2FC56">
      <w:start w:val="1"/>
      <w:numFmt w:val="decimal"/>
      <w:lvlText w:val="%7."/>
      <w:lvlJc w:val="left"/>
      <w:pPr>
        <w:ind w:left="5040" w:hanging="360"/>
      </w:pPr>
    </w:lvl>
    <w:lvl w:ilvl="7" w:tplc="F8E62ADE">
      <w:start w:val="1"/>
      <w:numFmt w:val="lowerLetter"/>
      <w:lvlText w:val="%8."/>
      <w:lvlJc w:val="left"/>
      <w:pPr>
        <w:ind w:left="5760" w:hanging="360"/>
      </w:pPr>
    </w:lvl>
    <w:lvl w:ilvl="8" w:tplc="CB68FF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4AFF"/>
    <w:multiLevelType w:val="hybridMultilevel"/>
    <w:tmpl w:val="C18A5954"/>
    <w:lvl w:ilvl="0" w:tplc="5E8A50C0">
      <w:start w:val="1"/>
      <w:numFmt w:val="decimal"/>
      <w:lvlText w:val="%1."/>
      <w:lvlJc w:val="left"/>
      <w:pPr>
        <w:ind w:left="720" w:hanging="360"/>
      </w:pPr>
    </w:lvl>
    <w:lvl w:ilvl="1" w:tplc="25F0E692">
      <w:start w:val="1"/>
      <w:numFmt w:val="lowerLetter"/>
      <w:lvlText w:val="%2."/>
      <w:lvlJc w:val="left"/>
      <w:pPr>
        <w:ind w:left="1440" w:hanging="360"/>
      </w:pPr>
    </w:lvl>
    <w:lvl w:ilvl="2" w:tplc="06121876">
      <w:start w:val="1"/>
      <w:numFmt w:val="lowerRoman"/>
      <w:lvlText w:val="%3."/>
      <w:lvlJc w:val="right"/>
      <w:pPr>
        <w:ind w:left="2160" w:hanging="180"/>
      </w:pPr>
    </w:lvl>
    <w:lvl w:ilvl="3" w:tplc="B1F45F38">
      <w:start w:val="1"/>
      <w:numFmt w:val="decimal"/>
      <w:lvlText w:val="%4."/>
      <w:lvlJc w:val="left"/>
      <w:pPr>
        <w:ind w:left="2880" w:hanging="360"/>
      </w:pPr>
    </w:lvl>
    <w:lvl w:ilvl="4" w:tplc="4BF68B54">
      <w:start w:val="1"/>
      <w:numFmt w:val="lowerLetter"/>
      <w:lvlText w:val="%5."/>
      <w:lvlJc w:val="left"/>
      <w:pPr>
        <w:ind w:left="3600" w:hanging="360"/>
      </w:pPr>
    </w:lvl>
    <w:lvl w:ilvl="5" w:tplc="85BC0A96">
      <w:start w:val="1"/>
      <w:numFmt w:val="lowerRoman"/>
      <w:lvlText w:val="%6."/>
      <w:lvlJc w:val="right"/>
      <w:pPr>
        <w:ind w:left="4320" w:hanging="180"/>
      </w:pPr>
    </w:lvl>
    <w:lvl w:ilvl="6" w:tplc="8A02D56C">
      <w:start w:val="1"/>
      <w:numFmt w:val="decimal"/>
      <w:lvlText w:val="%7."/>
      <w:lvlJc w:val="left"/>
      <w:pPr>
        <w:ind w:left="5040" w:hanging="360"/>
      </w:pPr>
    </w:lvl>
    <w:lvl w:ilvl="7" w:tplc="3C166CA2">
      <w:start w:val="1"/>
      <w:numFmt w:val="lowerLetter"/>
      <w:lvlText w:val="%8."/>
      <w:lvlJc w:val="left"/>
      <w:pPr>
        <w:ind w:left="5760" w:hanging="360"/>
      </w:pPr>
    </w:lvl>
    <w:lvl w:ilvl="8" w:tplc="03B48A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E3"/>
    <w:rsid w:val="000D2523"/>
    <w:rsid w:val="003134F2"/>
    <w:rsid w:val="003F6EE3"/>
    <w:rsid w:val="008A19A0"/>
    <w:rsid w:val="00B46502"/>
    <w:rsid w:val="00C17F55"/>
    <w:rsid w:val="245B72ED"/>
    <w:rsid w:val="7E6D8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F870"/>
  <w14:defaultImageDpi w14:val="32767"/>
  <w15:chartTrackingRefBased/>
  <w15:docId w15:val="{65BEFA10-F127-8E4F-9480-963B5C3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6EE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6EE3"/>
  </w:style>
  <w:style w:type="character" w:customStyle="1" w:styleId="eop">
    <w:name w:val="eop"/>
    <w:basedOn w:val="DefaultParagraphFont"/>
    <w:rsid w:val="003F6EE3"/>
  </w:style>
  <w:style w:type="character" w:customStyle="1" w:styleId="spellingerror">
    <w:name w:val="spellingerror"/>
    <w:basedOn w:val="DefaultParagraphFont"/>
    <w:rsid w:val="003F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6" ma:contentTypeDescription="Create a new document." ma:contentTypeScope="" ma:versionID="fde942e2577b13d8b158bc44dcb3ecce">
  <xsd:schema xmlns:xsd="http://www.w3.org/2001/XMLSchema" xmlns:xs="http://www.w3.org/2001/XMLSchema" xmlns:p="http://schemas.microsoft.com/office/2006/metadata/properties" xmlns:ns2="eacaa5ce-4b13-4929-997a-fd8c1bfe780a" xmlns:ns3="69aa3883-b251-412e-bf1d-acb3217d06af" targetNamespace="http://schemas.microsoft.com/office/2006/metadata/properties" ma:root="true" ma:fieldsID="74474b093c4c2dcc5b1a1ffdd869e9fb" ns2:_="" ns3:_="">
    <xsd:import namespace="eacaa5ce-4b13-4929-997a-fd8c1bfe780a"/>
    <xsd:import namespace="69aa3883-b251-412e-bf1d-acb3217d06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75127-E3A1-4087-9F84-628D251025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28380F-C219-4100-B229-BA60F1F06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592F0-DB49-432A-930D-06747A33E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aa5ce-4b13-4929-997a-fd8c1bfe780a"/>
    <ds:schemaRef ds:uri="69aa3883-b251-412e-bf1d-acb3217d0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Martinez-Paz</dc:creator>
  <cp:keywords/>
  <dc:description/>
  <cp:lastModifiedBy>Natalia Martinez-Paz</cp:lastModifiedBy>
  <cp:revision>2</cp:revision>
  <dcterms:created xsi:type="dcterms:W3CDTF">2019-06-12T00:36:00Z</dcterms:created>
  <dcterms:modified xsi:type="dcterms:W3CDTF">2019-06-12T00:36:00Z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</Properties>
</file>