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82842" w14:textId="77777777" w:rsidR="009E6D33" w:rsidRDefault="0084391C" w:rsidP="00A544D0">
      <w:pPr>
        <w:jc w:val="center"/>
      </w:pPr>
      <w:r>
        <w:rPr>
          <w:noProof/>
        </w:rPr>
        <mc:AlternateContent>
          <mc:Choice Requires="wps">
            <w:drawing>
              <wp:inline distT="0" distB="0" distL="0" distR="0" wp14:anchorId="7460AC14" wp14:editId="3BB68176">
                <wp:extent cx="304800" cy="304800"/>
                <wp:effectExtent l="0" t="0" r="0" b="0"/>
                <wp:docPr id="2" name="AutoShape 4" descr="UW TASP_LogoExploration_RGB_Co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xmlns:mv="urn:schemas-microsoft-com:mac:vml" xmlns:mo="http://schemas.microsoft.com/office/mac/office/2008/main">
            <w:pict>
              <v:rect id="AutoShape 4" o:spid="_x0000_s1026" alt="UW TASP_LogoExploration_RGB_Col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nmS9t1gIAAOUFAAAOAAAAAAAAAAAAAAAAAC4CAABkcnMvZTJvRG9j&#10;LnhtbFBLAQItABQABgAIAAAAIQBMoOks2AAAAAMBAAAPAAAAAAAAAAAAAAAAADAFAABkcnMvZG93&#10;bnJldi54bWxQSwUGAAAAAAQABADzAAAANQYAAAAA&#10;" filled="f" stroked="f">
                <o:lock v:ext="edit" aspectratio="t"/>
                <w10:anchorlock/>
              </v:rect>
            </w:pict>
          </mc:Fallback>
        </mc:AlternateContent>
      </w:r>
      <w:r>
        <w:rPr>
          <w:noProof/>
        </w:rPr>
        <w:drawing>
          <wp:inline distT="0" distB="0" distL="0" distR="0" wp14:anchorId="639171FE" wp14:editId="5DCF0D37">
            <wp:extent cx="2638425" cy="7771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8425" cy="777151"/>
                    </a:xfrm>
                    <a:prstGeom prst="rect">
                      <a:avLst/>
                    </a:prstGeom>
                  </pic:spPr>
                </pic:pic>
              </a:graphicData>
            </a:graphic>
          </wp:inline>
        </w:drawing>
      </w:r>
    </w:p>
    <w:p w14:paraId="4B4D3DCC" w14:textId="3398F387" w:rsidR="00A544D0" w:rsidRPr="00092FF7" w:rsidRDefault="00983F99" w:rsidP="00A544D0">
      <w:pPr>
        <w:rPr>
          <w:rFonts w:ascii="Corbel" w:hAnsi="Corbel"/>
          <w:b/>
          <w:sz w:val="32"/>
        </w:rPr>
      </w:pPr>
      <w:r>
        <w:rPr>
          <w:rFonts w:ascii="Corbel" w:hAnsi="Corbel"/>
          <w:b/>
          <w:sz w:val="32"/>
        </w:rPr>
        <w:t>Session Summary for 19 December 2017</w:t>
      </w:r>
    </w:p>
    <w:p w14:paraId="6D48A26F" w14:textId="1A2172F4" w:rsidR="0080209A" w:rsidRPr="00983F99" w:rsidRDefault="00A4505B" w:rsidP="0080209A">
      <w:pPr>
        <w:pStyle w:val="ListParagraph"/>
        <w:numPr>
          <w:ilvl w:val="0"/>
          <w:numId w:val="2"/>
        </w:numPr>
        <w:rPr>
          <w:rFonts w:ascii="Corbel" w:hAnsi="Corbel"/>
          <w:sz w:val="28"/>
          <w:szCs w:val="28"/>
        </w:rPr>
      </w:pPr>
      <w:r w:rsidRPr="00983F99">
        <w:rPr>
          <w:rFonts w:ascii="Corbel" w:hAnsi="Corbel"/>
          <w:sz w:val="28"/>
          <w:szCs w:val="28"/>
        </w:rPr>
        <w:t>Didactic: Intr</w:t>
      </w:r>
      <w:r w:rsidR="00983F99" w:rsidRPr="00983F99">
        <w:rPr>
          <w:rFonts w:ascii="Corbel" w:hAnsi="Corbel"/>
          <w:sz w:val="28"/>
          <w:szCs w:val="28"/>
        </w:rPr>
        <w:t>oduction to the Micro Lab Part 3</w:t>
      </w:r>
      <w:r w:rsidRPr="00983F99">
        <w:rPr>
          <w:rFonts w:ascii="Corbel" w:hAnsi="Corbel"/>
          <w:sz w:val="28"/>
          <w:szCs w:val="28"/>
        </w:rPr>
        <w:t xml:space="preserve"> by Dr. Rob Cybulski</w:t>
      </w:r>
    </w:p>
    <w:p w14:paraId="1043B011" w14:textId="440D2996" w:rsidR="00983F99" w:rsidRPr="00983F99" w:rsidRDefault="00983F99" w:rsidP="00983F99">
      <w:pPr>
        <w:pStyle w:val="ListParagraph"/>
        <w:numPr>
          <w:ilvl w:val="1"/>
          <w:numId w:val="2"/>
        </w:numPr>
        <w:rPr>
          <w:rFonts w:ascii="Corbel" w:hAnsi="Corbel"/>
          <w:sz w:val="28"/>
          <w:szCs w:val="28"/>
        </w:rPr>
      </w:pPr>
      <w:r w:rsidRPr="00983F99">
        <w:rPr>
          <w:rFonts w:ascii="Corbel" w:hAnsi="Corbel"/>
          <w:sz w:val="28"/>
          <w:szCs w:val="28"/>
        </w:rPr>
        <w:t xml:space="preserve">PCR is exquisitely sensitive and has brought us capabilities for rapid diagnosis. </w:t>
      </w:r>
    </w:p>
    <w:p w14:paraId="1E4AF14F" w14:textId="6DF5E5ED" w:rsidR="00983F99" w:rsidRPr="00983F99" w:rsidRDefault="00983F99" w:rsidP="00983F99">
      <w:pPr>
        <w:pStyle w:val="ListParagraph"/>
        <w:numPr>
          <w:ilvl w:val="1"/>
          <w:numId w:val="2"/>
        </w:numPr>
        <w:rPr>
          <w:rFonts w:ascii="Corbel" w:hAnsi="Corbel"/>
          <w:sz w:val="28"/>
          <w:szCs w:val="28"/>
        </w:rPr>
      </w:pPr>
      <w:r w:rsidRPr="00983F99">
        <w:rPr>
          <w:rFonts w:ascii="Corbel" w:hAnsi="Corbel"/>
          <w:sz w:val="28"/>
          <w:szCs w:val="28"/>
        </w:rPr>
        <w:t xml:space="preserve">PCR results must be interpreted in the clinical context to help decide what </w:t>
      </w:r>
      <w:proofErr w:type="gramStart"/>
      <w:r w:rsidRPr="00983F99">
        <w:rPr>
          <w:rFonts w:ascii="Corbel" w:hAnsi="Corbel"/>
          <w:sz w:val="28"/>
          <w:szCs w:val="28"/>
        </w:rPr>
        <w:t>is pathogen</w:t>
      </w:r>
      <w:proofErr w:type="gramEnd"/>
      <w:r w:rsidRPr="00983F99">
        <w:rPr>
          <w:rFonts w:ascii="Corbel" w:hAnsi="Corbel"/>
          <w:sz w:val="28"/>
          <w:szCs w:val="28"/>
        </w:rPr>
        <w:t xml:space="preserve"> and what is colonizer or contaminant. </w:t>
      </w:r>
    </w:p>
    <w:p w14:paraId="7207F048" w14:textId="31A213E0" w:rsidR="0080209A" w:rsidRPr="00983F99" w:rsidRDefault="0080209A" w:rsidP="00983F99">
      <w:pPr>
        <w:pStyle w:val="ListParagraph"/>
        <w:numPr>
          <w:ilvl w:val="0"/>
          <w:numId w:val="2"/>
        </w:numPr>
        <w:rPr>
          <w:rFonts w:ascii="Corbel" w:hAnsi="Corbel"/>
          <w:sz w:val="28"/>
          <w:szCs w:val="28"/>
        </w:rPr>
      </w:pPr>
      <w:r w:rsidRPr="00983F99">
        <w:rPr>
          <w:rFonts w:ascii="Corbel" w:hAnsi="Corbel"/>
          <w:sz w:val="28"/>
          <w:szCs w:val="28"/>
        </w:rPr>
        <w:t>Case presentation on</w:t>
      </w:r>
      <w:r w:rsidR="00983F99" w:rsidRPr="00983F99">
        <w:rPr>
          <w:rFonts w:ascii="Corbel" w:hAnsi="Corbel"/>
          <w:sz w:val="28"/>
          <w:szCs w:val="28"/>
        </w:rPr>
        <w:t xml:space="preserve"> a MSSA endocarditis, presumed right sided. </w:t>
      </w:r>
    </w:p>
    <w:p w14:paraId="53EF6A39" w14:textId="77777777" w:rsidR="00983F99" w:rsidRPr="00983F99" w:rsidRDefault="00983F99" w:rsidP="00983F99">
      <w:pPr>
        <w:pStyle w:val="ListParagraph"/>
        <w:numPr>
          <w:ilvl w:val="1"/>
          <w:numId w:val="2"/>
        </w:numPr>
        <w:spacing w:after="0" w:line="240" w:lineRule="auto"/>
        <w:rPr>
          <w:rFonts w:ascii="Corbel" w:hAnsi="Corbel" w:cs="Times New Roman"/>
          <w:sz w:val="28"/>
          <w:szCs w:val="28"/>
        </w:rPr>
      </w:pPr>
      <w:r w:rsidRPr="00983F99">
        <w:rPr>
          <w:rFonts w:ascii="Corbel" w:hAnsi="Corbel" w:cs="Times New Roman"/>
          <w:sz w:val="28"/>
          <w:szCs w:val="28"/>
        </w:rPr>
        <w:t>Positive blood cx with staph aureus should always be worked up and never treated as a contaminant.</w:t>
      </w:r>
    </w:p>
    <w:p w14:paraId="22CAE07B" w14:textId="6365BC8E" w:rsidR="00983F99" w:rsidRPr="00983F99" w:rsidRDefault="00983F99" w:rsidP="00983F99">
      <w:pPr>
        <w:pStyle w:val="ListParagraph"/>
        <w:numPr>
          <w:ilvl w:val="1"/>
          <w:numId w:val="2"/>
        </w:numPr>
        <w:spacing w:after="0" w:line="240" w:lineRule="auto"/>
        <w:rPr>
          <w:rFonts w:ascii="Corbel" w:hAnsi="Corbel" w:cs="Times New Roman"/>
          <w:sz w:val="28"/>
          <w:szCs w:val="28"/>
        </w:rPr>
      </w:pPr>
      <w:r w:rsidRPr="00983F99">
        <w:rPr>
          <w:rFonts w:ascii="Corbel" w:hAnsi="Corbel" w:cs="Times New Roman"/>
          <w:sz w:val="28"/>
          <w:szCs w:val="28"/>
        </w:rPr>
        <w:t>Repeat blood cultures should be taken daily</w:t>
      </w:r>
      <w:r>
        <w:rPr>
          <w:rFonts w:ascii="Corbel" w:hAnsi="Corbel" w:cs="Times New Roman"/>
          <w:sz w:val="28"/>
          <w:szCs w:val="28"/>
        </w:rPr>
        <w:t xml:space="preserve"> or every other day</w:t>
      </w:r>
      <w:r w:rsidRPr="00983F99">
        <w:rPr>
          <w:rFonts w:ascii="Corbel" w:hAnsi="Corbel" w:cs="Times New Roman"/>
          <w:sz w:val="28"/>
          <w:szCs w:val="28"/>
        </w:rPr>
        <w:t xml:space="preserve"> until negative. </w:t>
      </w:r>
    </w:p>
    <w:p w14:paraId="5C128501" w14:textId="77777777" w:rsidR="00983F99" w:rsidRPr="00983F99" w:rsidRDefault="00983F99" w:rsidP="00983F99">
      <w:pPr>
        <w:pStyle w:val="ListParagraph"/>
        <w:numPr>
          <w:ilvl w:val="1"/>
          <w:numId w:val="2"/>
        </w:numPr>
        <w:spacing w:after="0" w:line="240" w:lineRule="auto"/>
        <w:rPr>
          <w:rFonts w:ascii="Corbel" w:hAnsi="Corbel" w:cs="Times New Roman"/>
          <w:sz w:val="28"/>
          <w:szCs w:val="28"/>
        </w:rPr>
      </w:pPr>
      <w:r w:rsidRPr="00983F99">
        <w:rPr>
          <w:rFonts w:ascii="Corbel" w:hAnsi="Corbel" w:cs="Times New Roman"/>
          <w:sz w:val="28"/>
          <w:szCs w:val="28"/>
        </w:rPr>
        <w:t xml:space="preserve">Antibiotic course start date is the first day of negative blood cultures. </w:t>
      </w:r>
    </w:p>
    <w:p w14:paraId="4D856BA7" w14:textId="3FFFC01D" w:rsidR="00983F99" w:rsidRPr="00983F99" w:rsidRDefault="00983F99" w:rsidP="00983F99">
      <w:pPr>
        <w:pStyle w:val="ListParagraph"/>
        <w:numPr>
          <w:ilvl w:val="1"/>
          <w:numId w:val="2"/>
        </w:numPr>
        <w:spacing w:after="0" w:line="240" w:lineRule="auto"/>
        <w:rPr>
          <w:rFonts w:ascii="Corbel" w:hAnsi="Corbel" w:cs="Times New Roman"/>
          <w:sz w:val="28"/>
          <w:szCs w:val="28"/>
        </w:rPr>
      </w:pPr>
      <w:r w:rsidRPr="00983F99">
        <w:rPr>
          <w:rFonts w:ascii="Corbel" w:hAnsi="Corbel" w:cs="Times New Roman"/>
          <w:sz w:val="28"/>
          <w:szCs w:val="28"/>
        </w:rPr>
        <w:t>Please refer to the IDS</w:t>
      </w:r>
      <w:r w:rsidRPr="00983F99">
        <w:rPr>
          <w:rFonts w:ascii="Corbel" w:hAnsi="Corbel" w:cs="Times New Roman"/>
          <w:sz w:val="28"/>
          <w:szCs w:val="28"/>
        </w:rPr>
        <w:t>A</w:t>
      </w:r>
      <w:r w:rsidRPr="00983F99">
        <w:rPr>
          <w:rFonts w:ascii="Corbel" w:hAnsi="Corbel" w:cs="Times New Roman"/>
          <w:sz w:val="28"/>
          <w:szCs w:val="28"/>
        </w:rPr>
        <w:t xml:space="preserve"> guidelines for treatment of infective endocarditis. For right sided, uncompl</w:t>
      </w:r>
      <w:bookmarkStart w:id="0" w:name="_GoBack"/>
      <w:bookmarkEnd w:id="0"/>
      <w:r w:rsidRPr="00983F99">
        <w:rPr>
          <w:rFonts w:ascii="Corbel" w:hAnsi="Corbel" w:cs="Times New Roman"/>
          <w:sz w:val="28"/>
          <w:szCs w:val="28"/>
        </w:rPr>
        <w:t xml:space="preserve">icated endocarditis with MSSA you can treat with 2 weeks of antibiotics using a beta lactam that is highly active against the isolate. </w:t>
      </w:r>
    </w:p>
    <w:p w14:paraId="0D6D688F" w14:textId="30DC64AA" w:rsidR="000D6083" w:rsidRPr="00983F99" w:rsidRDefault="00983F99" w:rsidP="002D4F3B">
      <w:pPr>
        <w:pStyle w:val="ListParagraph"/>
        <w:numPr>
          <w:ilvl w:val="1"/>
          <w:numId w:val="2"/>
        </w:numPr>
        <w:spacing w:after="0" w:line="240" w:lineRule="auto"/>
        <w:rPr>
          <w:rFonts w:ascii="Corbel" w:hAnsi="Corbel" w:cs="Times New Roman"/>
          <w:sz w:val="28"/>
          <w:szCs w:val="28"/>
        </w:rPr>
      </w:pPr>
      <w:r w:rsidRPr="00983F99">
        <w:rPr>
          <w:rFonts w:ascii="Corbel" w:hAnsi="Corbel" w:cs="Times New Roman"/>
          <w:sz w:val="28"/>
          <w:szCs w:val="28"/>
        </w:rPr>
        <w:t xml:space="preserve">Pregnancy increases the volume of distribution during pregnancy. Vancomycin dosing in pregnancy is challenging due to both the increased volume of distribution and increased renal clearance. Please ask for help from your pharmacy colleagues around </w:t>
      </w:r>
      <w:proofErr w:type="spellStart"/>
      <w:r w:rsidRPr="00983F99">
        <w:rPr>
          <w:rFonts w:ascii="Corbel" w:hAnsi="Corbel" w:cs="Times New Roman"/>
          <w:sz w:val="28"/>
          <w:szCs w:val="28"/>
        </w:rPr>
        <w:t>abx</w:t>
      </w:r>
      <w:proofErr w:type="spellEnd"/>
      <w:r w:rsidRPr="00983F99">
        <w:rPr>
          <w:rFonts w:ascii="Corbel" w:hAnsi="Corbel" w:cs="Times New Roman"/>
          <w:sz w:val="28"/>
          <w:szCs w:val="28"/>
        </w:rPr>
        <w:t xml:space="preserve"> dosing in pregnancy. </w:t>
      </w:r>
    </w:p>
    <w:p w14:paraId="120EA7AD" w14:textId="77777777" w:rsidR="00983F99" w:rsidRPr="00983F99" w:rsidRDefault="00983F99" w:rsidP="00983F99">
      <w:pPr>
        <w:pStyle w:val="ListParagraph"/>
        <w:spacing w:after="0" w:line="240" w:lineRule="auto"/>
        <w:ind w:left="1440"/>
        <w:rPr>
          <w:rFonts w:ascii="Corbel" w:hAnsi="Corbel" w:cs="Times New Roman"/>
          <w:sz w:val="28"/>
          <w:szCs w:val="28"/>
        </w:rPr>
      </w:pPr>
    </w:p>
    <w:p w14:paraId="4B161948" w14:textId="77777777" w:rsidR="005D4FDE" w:rsidRPr="00983F99" w:rsidRDefault="005D4FDE" w:rsidP="002D4F3B">
      <w:pPr>
        <w:rPr>
          <w:rFonts w:ascii="Corbel" w:hAnsi="Corbel"/>
          <w:b/>
          <w:sz w:val="28"/>
          <w:szCs w:val="28"/>
        </w:rPr>
      </w:pPr>
      <w:r w:rsidRPr="00983F99">
        <w:rPr>
          <w:rFonts w:ascii="Corbel" w:hAnsi="Corbel"/>
          <w:b/>
          <w:sz w:val="28"/>
          <w:szCs w:val="28"/>
        </w:rPr>
        <w:t>References:</w:t>
      </w:r>
    </w:p>
    <w:p w14:paraId="1BF48643" w14:textId="77777777" w:rsidR="00983F99" w:rsidRPr="00983F99" w:rsidRDefault="00983F99" w:rsidP="00983F99">
      <w:pPr>
        <w:pStyle w:val="ListParagraph"/>
        <w:numPr>
          <w:ilvl w:val="0"/>
          <w:numId w:val="4"/>
        </w:numPr>
        <w:spacing w:after="0" w:line="240" w:lineRule="auto"/>
        <w:rPr>
          <w:rFonts w:ascii="Times New Roman" w:hAnsi="Times New Roman" w:cs="Times New Roman"/>
          <w:sz w:val="28"/>
          <w:szCs w:val="28"/>
        </w:rPr>
      </w:pPr>
      <w:hyperlink r:id="rId10" w:history="1">
        <w:r w:rsidRPr="00983F99">
          <w:rPr>
            <w:rStyle w:val="Hyperlink"/>
            <w:rFonts w:ascii="Times New Roman" w:hAnsi="Times New Roman" w:cs="Times New Roman"/>
            <w:sz w:val="28"/>
            <w:szCs w:val="28"/>
          </w:rPr>
          <w:t>http://www.idsociety.org/uploadedFiles/IDSA/Guidelines-Patient_Care/IDSA_Practice_Guidelines/Fever_and_Infections/AHA%20Infective%20Endo.pdf</w:t>
        </w:r>
      </w:hyperlink>
    </w:p>
    <w:p w14:paraId="322C9BC5" w14:textId="77777777" w:rsidR="0080209A" w:rsidRPr="00983F99" w:rsidRDefault="0080209A" w:rsidP="0080209A">
      <w:pPr>
        <w:rPr>
          <w:rFonts w:ascii="Corbel" w:hAnsi="Corbel"/>
          <w:sz w:val="28"/>
          <w:szCs w:val="28"/>
        </w:rPr>
      </w:pPr>
    </w:p>
    <w:sectPr w:rsidR="0080209A" w:rsidRPr="00983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33E82"/>
    <w:multiLevelType w:val="hybridMultilevel"/>
    <w:tmpl w:val="F0DA8F6A"/>
    <w:lvl w:ilvl="0" w:tplc="FAD2DB6A">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6E7953"/>
    <w:multiLevelType w:val="hybridMultilevel"/>
    <w:tmpl w:val="80E8E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A2C773D"/>
    <w:multiLevelType w:val="hybridMultilevel"/>
    <w:tmpl w:val="549EC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8E9641A"/>
    <w:multiLevelType w:val="hybridMultilevel"/>
    <w:tmpl w:val="E5547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loebc@gmail.com">
    <w15:presenceInfo w15:providerId="Windows Live" w15:userId="fd83d25bd2335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7A207DC-9467-46F0-B0C9-F1E6C50A0C75}"/>
    <w:docVar w:name="dgnword-eventsink" w:val="106416720"/>
  </w:docVars>
  <w:rsids>
    <w:rsidRoot w:val="0084391C"/>
    <w:rsid w:val="00092FF7"/>
    <w:rsid w:val="000D6083"/>
    <w:rsid w:val="002D4F3B"/>
    <w:rsid w:val="004D4A9A"/>
    <w:rsid w:val="00545B9C"/>
    <w:rsid w:val="005D4FDE"/>
    <w:rsid w:val="007B3ED0"/>
    <w:rsid w:val="0080209A"/>
    <w:rsid w:val="0084391C"/>
    <w:rsid w:val="00943280"/>
    <w:rsid w:val="00983F99"/>
    <w:rsid w:val="009E6D33"/>
    <w:rsid w:val="00A4505B"/>
    <w:rsid w:val="00A544D0"/>
    <w:rsid w:val="00D05950"/>
    <w:rsid w:val="00F0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semiHidden/>
    <w:unhideWhenUsed/>
    <w:rsid w:val="000D60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semiHidden/>
    <w:unhideWhenUsed/>
    <w:rsid w:val="000D6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dsociety.org/uploadedFiles/IDSA/Guidelines-Patient_Care/IDSA_Practice_Guidelines/Fever_and_Infections/AHA%20Infective%20Endo.pdf"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87d255104f8536b5b85e366e31c232d6">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4c8521088e9a5bdd28cc23b4085936d8"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2EA37-27D1-4A96-B583-D61C334597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6AB2B-DA3E-4AB7-8FEF-6975191240A6}">
  <ds:schemaRefs>
    <ds:schemaRef ds:uri="http://schemas.microsoft.com/sharepoint/v3/contenttype/forms"/>
  </ds:schemaRefs>
</ds:datastoreItem>
</file>

<file path=customXml/itemProps3.xml><?xml version="1.0" encoding="utf-8"?>
<ds:datastoreItem xmlns:ds="http://schemas.openxmlformats.org/officeDocument/2006/customXml" ds:itemID="{15E6D227-FFD5-44BF-BF79-1EACF0D0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John B</dc:creator>
  <cp:lastModifiedBy>Wright, Theodore C</cp:lastModifiedBy>
  <cp:revision>2</cp:revision>
  <dcterms:created xsi:type="dcterms:W3CDTF">2017-12-19T20:08:00Z</dcterms:created>
  <dcterms:modified xsi:type="dcterms:W3CDTF">2017-12-19T20:08:00Z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