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F6EE3" w:rsidP="003F6EE3" w:rsidRDefault="003F6EE3" w14:paraId="138347D6" w14:textId="77777777">
      <w:pPr>
        <w:jc w:val="center"/>
      </w:pPr>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r w:rsidR="3F411276">
        <w:rPr/>
        <w:t/>
      </w:r>
    </w:p>
    <w:p w:rsidRPr="00D31AEA" w:rsidR="003F6EE3" w:rsidP="003F6EE3" w:rsidRDefault="003F6EE3" w14:paraId="2E679AA2" w14:textId="571B411C">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Hospital: </w:t>
      </w:r>
      <w:r w:rsidR="00937F1A">
        <w:rPr>
          <w:rFonts w:asciiTheme="majorHAnsi" w:hAnsiTheme="majorHAnsi" w:eastAsiaTheme="majorEastAsia" w:cstheme="majorBidi"/>
          <w:b/>
          <w:bCs/>
          <w:sz w:val="32"/>
          <w:szCs w:val="32"/>
        </w:rPr>
        <w:t xml:space="preserve">Tri-State </w:t>
      </w:r>
      <w:bookmarkStart w:name="_GoBack" w:id="0"/>
      <w:bookmarkEnd w:id="0"/>
    </w:p>
    <w:p w:rsidRPr="00D31AEA" w:rsidR="003F6EE3" w:rsidP="003F6EE3" w:rsidRDefault="003F6EE3" w14:paraId="57A4140A" w14:textId="16C99694">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Presenter: </w:t>
      </w:r>
      <w:r w:rsidR="00937F1A">
        <w:rPr>
          <w:rFonts w:asciiTheme="majorHAnsi" w:hAnsiTheme="majorHAnsi" w:eastAsiaTheme="majorEastAsia" w:cstheme="majorBidi"/>
          <w:b/>
          <w:bCs/>
          <w:sz w:val="32"/>
          <w:szCs w:val="32"/>
        </w:rPr>
        <w:t>Anubhav Kanwar</w:t>
      </w:r>
    </w:p>
    <w:p w:rsidR="003F6EE3" w:rsidP="003F6EE3" w:rsidRDefault="003F6EE3" w14:paraId="4CA19FA5" w14:textId="1EBD4A2B">
      <w:pPr>
        <w:rPr>
          <w:rFonts w:asciiTheme="majorHAnsi" w:hAnsiTheme="majorHAnsi" w:eastAsiaTheme="majorEastAsia" w:cstheme="majorBidi"/>
          <w:color w:val="000000" w:themeColor="text1"/>
          <w:sz w:val="24"/>
          <w:szCs w:val="24"/>
        </w:rPr>
      </w:pPr>
      <w:r>
        <w:rPr>
          <w:rFonts w:asciiTheme="majorHAnsi" w:hAnsiTheme="majorHAnsi" w:eastAsiaTheme="majorEastAsia" w:cstheme="majorBidi"/>
          <w:color w:val="000000" w:themeColor="text1"/>
          <w:sz w:val="24"/>
          <w:szCs w:val="24"/>
        </w:rPr>
        <w:t xml:space="preserve">Question/case summary: </w:t>
      </w:r>
    </w:p>
    <w:p w:rsidRPr="00937F1A" w:rsidR="00937F1A" w:rsidP="7B039D0F" w:rsidRDefault="00937F1A" w14:paraId="0A220D66" w14:textId="47F776E0">
      <w:pPr>
        <w:spacing w:after="0" w:line="240" w:lineRule="auto"/>
        <w:rPr>
          <w:rFonts w:ascii="Times New Roman" w:hAnsi="Times New Roman" w:eastAsia="Times New Roman" w:cs="Times New Roman"/>
          <w:sz w:val="24"/>
          <w:szCs w:val="24"/>
        </w:rPr>
      </w:pPr>
      <w:r w:rsidRPr="7B039D0F" w:rsidR="7B039D0F">
        <w:rPr>
          <w:rFonts w:ascii="Calibri" w:hAnsi="Calibri" w:eastAsia="Times New Roman" w:cs="Calibri"/>
          <w:color w:val="000000" w:themeColor="text1" w:themeTint="FF" w:themeShade="FF"/>
        </w:rPr>
        <w:t xml:space="preserve">I want to share an interesting case of a 40-year-old referred for concerns of Lyme disease and symptoms of fatigue, migratory joint pain, difficulty concentrating. Patient </w:t>
      </w:r>
      <w:r w:rsidRPr="7B039D0F" w:rsidR="7B039D0F">
        <w:rPr>
          <w:rFonts w:ascii="Calibri" w:hAnsi="Calibri" w:eastAsia="Times New Roman" w:cs="Calibri"/>
          <w:color w:val="000000" w:themeColor="text1" w:themeTint="FF" w:themeShade="FF"/>
        </w:rPr>
        <w:t>went</w:t>
      </w:r>
      <w:r w:rsidRPr="7B039D0F" w:rsidR="7B039D0F">
        <w:rPr>
          <w:rFonts w:ascii="Calibri" w:hAnsi="Calibri" w:eastAsia="Times New Roman" w:cs="Calibri"/>
          <w:color w:val="000000" w:themeColor="text1" w:themeTint="FF" w:themeShade="FF"/>
        </w:rPr>
        <w:t xml:space="preserve"> camping and hiking near Elk city, Idaho and spent about 5 days there. During the 2nd day of trip, he noticed itching and swelling on right side of neck. No pictures available. No other symptoms. The swelling and itching went away on its own after 2-3 days. After the trip patient felt physically exhausted, noticed fatigue, difficult concentrating. He was seen by PCP about 1</w:t>
      </w:r>
      <w:r w:rsidRPr="7B039D0F" w:rsidR="7B039D0F">
        <w:rPr>
          <w:rFonts w:ascii="Calibri" w:hAnsi="Calibri" w:eastAsia="Times New Roman" w:cs="Calibri"/>
          <w:color w:val="000000" w:themeColor="text1" w:themeTint="FF" w:themeShade="FF"/>
        </w:rPr>
        <w:t>5</w:t>
      </w:r>
      <w:r w:rsidRPr="7B039D0F" w:rsidR="7B039D0F">
        <w:rPr>
          <w:rFonts w:ascii="Calibri" w:hAnsi="Calibri" w:eastAsia="Times New Roman" w:cs="Calibri"/>
          <w:color w:val="000000" w:themeColor="text1" w:themeTint="FF" w:themeShade="FF"/>
        </w:rPr>
        <w:t xml:space="preserve"> days after his trip, and symptoms were thought to be due to a viral infection. A Lyme testing with reflex Western blot was ordered</w:t>
      </w:r>
      <w:r w:rsidRPr="7B039D0F" w:rsidR="7B039D0F">
        <w:rPr>
          <w:rFonts w:ascii="Calibri" w:hAnsi="Calibri" w:eastAsia="Times New Roman" w:cs="Calibri"/>
          <w:color w:val="000000" w:themeColor="text1" w:themeTint="FF" w:themeShade="FF"/>
        </w:rPr>
        <w:t xml:space="preserve"> - </w:t>
      </w:r>
      <w:r w:rsidRPr="7B039D0F" w:rsidR="7B039D0F">
        <w:rPr>
          <w:rFonts w:ascii="Calibri" w:hAnsi="Calibri" w:eastAsia="Times New Roman" w:cs="Calibri"/>
          <w:color w:val="000000" w:themeColor="text1" w:themeTint="FF" w:themeShade="FF"/>
        </w:rPr>
        <w:t xml:space="preserve">positive Lyme screen and negative IgG and IgM. Patient was started on PO Doxycycline 100 mg </w:t>
      </w:r>
      <w:r w:rsidRPr="7B039D0F" w:rsidR="7B039D0F">
        <w:rPr>
          <w:rFonts w:ascii="Calibri" w:hAnsi="Calibri" w:eastAsia="Times New Roman" w:cs="Calibri"/>
          <w:color w:val="000000" w:themeColor="text1" w:themeTint="FF" w:themeShade="FF"/>
        </w:rPr>
        <w:t>bid and</w:t>
      </w:r>
      <w:r w:rsidRPr="7B039D0F" w:rsidR="7B039D0F">
        <w:rPr>
          <w:rFonts w:ascii="Calibri" w:hAnsi="Calibri" w:eastAsia="Times New Roman" w:cs="Calibri"/>
          <w:color w:val="000000" w:themeColor="text1" w:themeTint="FF" w:themeShade="FF"/>
        </w:rPr>
        <w:t xml:space="preserve"> continued for next 2 months. Patient was seen by me in October 2019, and Doxycycline was stopped. He did not have any joint swelling, focal weakness, symptoms suggestive of neuritis, cardiac symptoms, EKG abnormalities. Multiple teaching points emerge from this case:</w:t>
      </w:r>
      <w:r>
        <w:br/>
      </w:r>
      <w:r w:rsidRPr="7B039D0F" w:rsidR="7B039D0F">
        <w:rPr>
          <w:rFonts w:ascii="Calibri" w:hAnsi="Calibri" w:eastAsia="Times New Roman" w:cs="Calibri"/>
          <w:color w:val="000000" w:themeColor="text1" w:themeTint="FF" w:themeShade="FF"/>
        </w:rPr>
        <w:t xml:space="preserve">- Inappropriate diagnosis of erythema </w:t>
      </w:r>
      <w:proofErr w:type="spellStart"/>
      <w:r w:rsidRPr="7B039D0F" w:rsidR="7B039D0F">
        <w:rPr>
          <w:rFonts w:ascii="Calibri" w:hAnsi="Calibri" w:eastAsia="Times New Roman" w:cs="Calibri"/>
          <w:color w:val="000000" w:themeColor="text1" w:themeTint="FF" w:themeShade="FF"/>
        </w:rPr>
        <w:t>migrans</w:t>
      </w:r>
      <w:proofErr w:type="spellEnd"/>
      <w:r w:rsidRPr="7B039D0F" w:rsidR="7B039D0F">
        <w:rPr>
          <w:rFonts w:ascii="Calibri" w:hAnsi="Calibri" w:eastAsia="Times New Roman" w:cs="Calibri"/>
          <w:color w:val="000000" w:themeColor="text1" w:themeTint="FF" w:themeShade="FF"/>
        </w:rPr>
        <w:t xml:space="preserve"> (EM). Did he have EM, or was it </w:t>
      </w:r>
      <w:proofErr w:type="gramStart"/>
      <w:r w:rsidRPr="7B039D0F" w:rsidR="7B039D0F">
        <w:rPr>
          <w:rFonts w:ascii="Calibri" w:hAnsi="Calibri" w:eastAsia="Times New Roman" w:cs="Calibri"/>
          <w:color w:val="000000" w:themeColor="text1" w:themeTint="FF" w:themeShade="FF"/>
        </w:rPr>
        <w:t>actually something</w:t>
      </w:r>
      <w:proofErr w:type="gramEnd"/>
      <w:r w:rsidRPr="7B039D0F" w:rsidR="7B039D0F">
        <w:rPr>
          <w:rFonts w:ascii="Calibri" w:hAnsi="Calibri" w:eastAsia="Times New Roman" w:cs="Calibri"/>
          <w:color w:val="000000" w:themeColor="text1" w:themeTint="FF" w:themeShade="FF"/>
        </w:rPr>
        <w:t xml:space="preserve"> else?</w:t>
      </w:r>
      <w:r>
        <w:br/>
      </w:r>
      <w:r w:rsidRPr="7B039D0F" w:rsidR="7B039D0F">
        <w:rPr>
          <w:rFonts w:ascii="Calibri" w:hAnsi="Calibri" w:eastAsia="Times New Roman" w:cs="Calibri"/>
          <w:color w:val="000000" w:themeColor="text1" w:themeTint="FF" w:themeShade="FF"/>
        </w:rPr>
        <w:t>- Duration of Doxycycline for EM</w:t>
      </w:r>
      <w:r>
        <w:br/>
      </w:r>
      <w:r w:rsidRPr="7B039D0F" w:rsidR="7B039D0F">
        <w:rPr>
          <w:rFonts w:ascii="Calibri" w:hAnsi="Calibri" w:eastAsia="Times New Roman" w:cs="Calibri"/>
          <w:color w:val="000000" w:themeColor="text1" w:themeTint="FF" w:themeShade="FF"/>
        </w:rPr>
        <w:t xml:space="preserve">- Symptoms of late </w:t>
      </w:r>
      <w:proofErr w:type="spellStart"/>
      <w:r w:rsidRPr="7B039D0F" w:rsidR="7B039D0F">
        <w:rPr>
          <w:rFonts w:ascii="Calibri" w:hAnsi="Calibri" w:eastAsia="Times New Roman" w:cs="Calibri"/>
          <w:color w:val="000000" w:themeColor="text1" w:themeTint="FF" w:themeShade="FF"/>
        </w:rPr>
        <w:t>lyme</w:t>
      </w:r>
      <w:proofErr w:type="spellEnd"/>
      <w:r w:rsidRPr="7B039D0F" w:rsidR="7B039D0F">
        <w:rPr>
          <w:rFonts w:ascii="Calibri" w:hAnsi="Calibri" w:eastAsia="Times New Roman" w:cs="Calibri"/>
          <w:color w:val="000000" w:themeColor="text1" w:themeTint="FF" w:themeShade="FF"/>
        </w:rPr>
        <w:t xml:space="preserve"> disease</w:t>
      </w:r>
      <w:r>
        <w:br/>
      </w:r>
      <w:r w:rsidRPr="7B039D0F" w:rsidR="7B039D0F">
        <w:rPr>
          <w:rFonts w:ascii="Calibri" w:hAnsi="Calibri" w:eastAsia="Times New Roman" w:cs="Calibri"/>
          <w:color w:val="000000" w:themeColor="text1" w:themeTint="FF" w:themeShade="FF"/>
        </w:rPr>
        <w:t>- In addition, Doxycycline might not have been indicated given negative IgM for Lyme disease at 2-4 weeks window after initial exposure</w:t>
      </w:r>
    </w:p>
    <w:p w:rsidR="003F6EE3" w:rsidP="3F411276" w:rsidRDefault="003F6EE3" w14:paraId="2A3C84B5" w14:noSpellErr="1" w14:textId="7B457DE2">
      <w:pPr>
        <w:pStyle w:val="Normal"/>
        <w:rPr>
          <w:rFonts w:ascii="Calibri Light" w:hAnsi="Calibri Light" w:eastAsia="" w:cs="" w:asciiTheme="majorAscii" w:hAnsiTheme="majorAscii" w:eastAsiaTheme="majorEastAsia" w:cstheme="majorBidi"/>
          <w:color w:val="000000" w:themeColor="text1" w:themeTint="FF" w:themeShade="FF"/>
          <w:sz w:val="24"/>
          <w:szCs w:val="24"/>
        </w:rPr>
      </w:pPr>
    </w:p>
    <w:p w:rsidR="003F6EE3" w:rsidP="003F6EE3" w:rsidRDefault="003F6EE3" w14:paraId="6EBBECFE" w14:textId="77777777">
      <w:pPr>
        <w:rPr>
          <w:rFonts w:asciiTheme="majorHAnsi" w:hAnsiTheme="majorHAnsi" w:eastAsiaTheme="majorEastAsia" w:cstheme="majorBidi"/>
          <w:color w:val="000000" w:themeColor="text1"/>
          <w:sz w:val="24"/>
          <w:szCs w:val="24"/>
        </w:rPr>
      </w:pPr>
      <w:r w:rsidRPr="042F2E54">
        <w:rPr>
          <w:rFonts w:asciiTheme="majorHAnsi" w:hAnsiTheme="majorHAnsi" w:eastAsiaTheme="majorEastAsia" w:cstheme="majorBidi"/>
          <w:color w:val="000000" w:themeColor="text1"/>
          <w:sz w:val="24"/>
          <w:szCs w:val="24"/>
        </w:rPr>
        <w:t>UW TASP Recommendations</w:t>
      </w:r>
      <w:r>
        <w:rPr>
          <w:rFonts w:asciiTheme="majorHAnsi" w:hAnsiTheme="majorHAnsi" w:eastAsiaTheme="majorEastAsia" w:cstheme="majorBidi"/>
          <w:color w:val="000000" w:themeColor="text1"/>
          <w:sz w:val="24"/>
          <w:szCs w:val="24"/>
        </w:rPr>
        <w:t xml:space="preserve">: </w:t>
      </w:r>
    </w:p>
    <w:p w:rsidR="003F6EE3" w:rsidP="003F6EE3" w:rsidRDefault="003F6EE3" w14:paraId="3A7FB2ED" w14:textId="77777777">
      <w:pPr>
        <w:pStyle w:val="paragraph"/>
        <w:spacing w:before="0" w:beforeAutospacing="0" w:after="0" w:afterAutospacing="0"/>
        <w:textAlignment w:val="baseline"/>
        <w:rPr>
          <w:rStyle w:val="normaltextrun"/>
          <w:rFonts w:ascii="Calibri" w:hAnsi="Calibri" w:cs="Segoe UI"/>
          <w:color w:val="000000"/>
        </w:rPr>
      </w:pPr>
    </w:p>
    <w:p w:rsidR="003F6EE3" w:rsidP="3F411276" w:rsidRDefault="003F6EE3" w14:paraId="5000023E" w14:textId="6B32D3A7">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3F411276" w:rsidR="3F411276">
        <w:rPr>
          <w:rStyle w:val="normaltextrun"/>
          <w:rFonts w:ascii="Calibri" w:hAnsi="Calibri" w:cs="Segoe UI"/>
          <w:color w:val="000000" w:themeColor="text1" w:themeTint="FF" w:themeShade="FF"/>
        </w:rPr>
        <w:t>T</w:t>
      </w:r>
      <w:r w:rsidRPr="3F411276" w:rsidR="3F411276">
        <w:rPr>
          <w:rStyle w:val="normaltextrun"/>
          <w:rFonts w:ascii="Calibri" w:hAnsi="Calibri" w:cs="Segoe UI"/>
          <w:color w:val="000000" w:themeColor="text1" w:themeTint="FF" w:themeShade="FF"/>
        </w:rPr>
        <w:t>he t</w:t>
      </w:r>
      <w:r w:rsidRPr="3F411276" w:rsidR="3F411276">
        <w:rPr>
          <w:rStyle w:val="normaltextrun"/>
          <w:rFonts w:ascii="Calibri" w:hAnsi="Calibri" w:cs="Segoe UI"/>
          <w:color w:val="000000" w:themeColor="text1" w:themeTint="FF" w:themeShade="FF"/>
        </w:rPr>
        <w:t xml:space="preserve">ypical window from </w:t>
      </w:r>
      <w:r w:rsidRPr="3F411276" w:rsidR="3F411276">
        <w:rPr>
          <w:rStyle w:val="normaltextrun"/>
          <w:rFonts w:ascii="Calibri" w:hAnsi="Calibri" w:cs="Segoe UI"/>
          <w:color w:val="000000" w:themeColor="text1" w:themeTint="FF" w:themeShade="FF"/>
        </w:rPr>
        <w:t xml:space="preserve">tick </w:t>
      </w:r>
      <w:r w:rsidRPr="3F411276" w:rsidR="3F411276">
        <w:rPr>
          <w:rStyle w:val="normaltextrun"/>
          <w:rFonts w:ascii="Calibri" w:hAnsi="Calibri" w:cs="Segoe UI"/>
          <w:color w:val="000000" w:themeColor="text1" w:themeTint="FF" w:themeShade="FF"/>
        </w:rPr>
        <w:t xml:space="preserve">bite to </w:t>
      </w:r>
      <w:r w:rsidRPr="3F411276" w:rsidR="3F411276">
        <w:rPr>
          <w:rStyle w:val="normaltextrun"/>
          <w:rFonts w:ascii="Calibri" w:hAnsi="Calibri" w:cs="Segoe UI"/>
          <w:color w:val="000000" w:themeColor="text1" w:themeTint="FF" w:themeShade="FF"/>
        </w:rPr>
        <w:t xml:space="preserve">erythema </w:t>
      </w:r>
      <w:proofErr w:type="spellStart"/>
      <w:r w:rsidRPr="3F411276" w:rsidR="3F411276">
        <w:rPr>
          <w:rStyle w:val="normaltextrun"/>
          <w:rFonts w:ascii="Calibri" w:hAnsi="Calibri" w:cs="Segoe UI"/>
          <w:color w:val="000000" w:themeColor="text1" w:themeTint="FF" w:themeShade="FF"/>
        </w:rPr>
        <w:t>migrans</w:t>
      </w:r>
      <w:proofErr w:type="spellEnd"/>
      <w:r w:rsidRPr="3F411276" w:rsidR="3F411276">
        <w:rPr>
          <w:rStyle w:val="normaltextrun"/>
          <w:rFonts w:ascii="Calibri" w:hAnsi="Calibri" w:cs="Segoe UI"/>
          <w:color w:val="000000" w:themeColor="text1" w:themeTint="FF" w:themeShade="FF"/>
        </w:rPr>
        <w:t>, the characteristic rash of Lyme disease,</w:t>
      </w:r>
      <w:r w:rsidRPr="3F411276" w:rsidR="3F411276">
        <w:rPr>
          <w:rStyle w:val="normaltextrun"/>
          <w:rFonts w:ascii="Calibri" w:hAnsi="Calibri" w:cs="Segoe UI"/>
          <w:color w:val="000000" w:themeColor="text1" w:themeTint="FF" w:themeShade="FF"/>
        </w:rPr>
        <w:t xml:space="preserve"> is 7-14 days</w:t>
      </w:r>
      <w:r w:rsidRPr="3F411276" w:rsidR="3F411276">
        <w:rPr>
          <w:rStyle w:val="normaltextrun"/>
          <w:rFonts w:ascii="Calibri" w:hAnsi="Calibri" w:cs="Segoe UI"/>
          <w:color w:val="000000" w:themeColor="text1" w:themeTint="FF" w:themeShade="FF"/>
        </w:rPr>
        <w:t>. Onset may</w:t>
      </w:r>
      <w:r w:rsidRPr="3F411276" w:rsidR="3F411276">
        <w:rPr>
          <w:rStyle w:val="normaltextrun"/>
          <w:rFonts w:ascii="Calibri" w:hAnsi="Calibri" w:cs="Segoe UI"/>
          <w:color w:val="000000" w:themeColor="text1" w:themeTint="FF" w:themeShade="FF"/>
        </w:rPr>
        <w:t xml:space="preserve"> range </w:t>
      </w:r>
      <w:r w:rsidRPr="3F411276" w:rsidR="3F411276">
        <w:rPr>
          <w:rStyle w:val="normaltextrun"/>
          <w:rFonts w:ascii="Calibri" w:hAnsi="Calibri" w:cs="Segoe UI"/>
          <w:color w:val="000000" w:themeColor="text1" w:themeTint="FF" w:themeShade="FF"/>
        </w:rPr>
        <w:t>from</w:t>
      </w:r>
      <w:r w:rsidRPr="3F411276" w:rsidR="3F411276">
        <w:rPr>
          <w:rStyle w:val="normaltextrun"/>
          <w:rFonts w:ascii="Calibri" w:hAnsi="Calibri" w:cs="Segoe UI"/>
          <w:color w:val="000000" w:themeColor="text1" w:themeTint="FF" w:themeShade="FF"/>
        </w:rPr>
        <w:t xml:space="preserve"> 3 – 30 days. A rash that develops immediately following a tick</w:t>
      </w:r>
      <w:r w:rsidRPr="3F411276" w:rsidR="3F411276">
        <w:rPr>
          <w:rStyle w:val="normaltextrun"/>
          <w:rFonts w:ascii="Calibri" w:hAnsi="Calibri" w:cs="Segoe UI"/>
          <w:color w:val="000000" w:themeColor="text1" w:themeTint="FF" w:themeShade="FF"/>
        </w:rPr>
        <w:t xml:space="preserve"> </w:t>
      </w:r>
      <w:r w:rsidRPr="3F411276" w:rsidR="3F411276">
        <w:rPr>
          <w:rStyle w:val="normaltextrun"/>
          <w:rFonts w:ascii="Calibri" w:hAnsi="Calibri" w:cs="Segoe UI"/>
          <w:color w:val="000000" w:themeColor="text1" w:themeTint="FF" w:themeShade="FF"/>
        </w:rPr>
        <w:t>bite might be a hypersensitivity t</w:t>
      </w:r>
      <w:r w:rsidRPr="3F411276" w:rsidR="3F411276">
        <w:rPr>
          <w:rStyle w:val="normaltextrun"/>
          <w:rFonts w:ascii="Calibri" w:hAnsi="Calibri" w:cs="Segoe UI"/>
          <w:color w:val="000000" w:themeColor="text1" w:themeTint="FF" w:themeShade="FF"/>
        </w:rPr>
        <w:t>o t</w:t>
      </w:r>
      <w:r w:rsidRPr="3F411276" w:rsidR="3F411276">
        <w:rPr>
          <w:rStyle w:val="normaltextrun"/>
          <w:rFonts w:ascii="Calibri" w:hAnsi="Calibri" w:cs="Segoe UI"/>
          <w:color w:val="000000" w:themeColor="text1" w:themeTint="FF" w:themeShade="FF"/>
        </w:rPr>
        <w:t xml:space="preserve">he bite but </w:t>
      </w:r>
      <w:r w:rsidRPr="3F411276" w:rsidR="3F411276">
        <w:rPr>
          <w:rStyle w:val="normaltextrun"/>
          <w:rFonts w:ascii="Calibri" w:hAnsi="Calibri" w:cs="Segoe UI"/>
          <w:color w:val="000000" w:themeColor="text1" w:themeTint="FF" w:themeShade="FF"/>
        </w:rPr>
        <w:t xml:space="preserve">is most likely </w:t>
      </w:r>
      <w:r w:rsidRPr="3F411276" w:rsidR="3F411276">
        <w:rPr>
          <w:rStyle w:val="normaltextrun"/>
          <w:rFonts w:ascii="Calibri" w:hAnsi="Calibri" w:cs="Segoe UI"/>
          <w:color w:val="000000" w:themeColor="text1" w:themeTint="FF" w:themeShade="FF"/>
        </w:rPr>
        <w:t>not erythema migrans.</w:t>
      </w:r>
    </w:p>
    <w:p w:rsidR="003F6EE3" w:rsidP="3F411276" w:rsidRDefault="003F6EE3" w14:paraId="4270A34C" w14:textId="23F4AC89">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7B039D0F" w:rsidRDefault="003F6EE3" w14:paraId="1FE265FC" w14:textId="1F793B38">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7B039D0F" w:rsidR="7B039D0F">
        <w:rPr>
          <w:rStyle w:val="normaltextrun"/>
          <w:rFonts w:ascii="Calibri" w:hAnsi="Calibri" w:cs="Segoe UI"/>
          <w:color w:val="000000" w:themeColor="text1" w:themeTint="FF" w:themeShade="FF"/>
        </w:rPr>
        <w:t xml:space="preserve">Ticks that transmit </w:t>
      </w:r>
      <w:r w:rsidRPr="7B039D0F" w:rsidR="7B039D0F">
        <w:rPr>
          <w:rStyle w:val="normaltextrun"/>
          <w:rFonts w:ascii="Calibri" w:hAnsi="Calibri" w:cs="Segoe UI"/>
          <w:color w:val="000000" w:themeColor="text1" w:themeTint="FF" w:themeShade="FF"/>
        </w:rPr>
        <w:t>L</w:t>
      </w:r>
      <w:r w:rsidRPr="7B039D0F" w:rsidR="7B039D0F">
        <w:rPr>
          <w:rStyle w:val="normaltextrun"/>
          <w:rFonts w:ascii="Calibri" w:hAnsi="Calibri" w:cs="Segoe UI"/>
          <w:color w:val="000000" w:themeColor="text1" w:themeTint="FF" w:themeShade="FF"/>
        </w:rPr>
        <w:t xml:space="preserve">yme disease need to remain attached for a prolonged period, generally 36 hours. Cases of </w:t>
      </w:r>
      <w:r w:rsidRPr="7B039D0F" w:rsidR="7B039D0F">
        <w:rPr>
          <w:rStyle w:val="normaltextrun"/>
          <w:rFonts w:ascii="Calibri" w:hAnsi="Calibri" w:cs="Segoe UI"/>
          <w:color w:val="000000" w:themeColor="text1" w:themeTint="FF" w:themeShade="FF"/>
        </w:rPr>
        <w:t>L</w:t>
      </w:r>
      <w:r w:rsidRPr="7B039D0F" w:rsidR="7B039D0F">
        <w:rPr>
          <w:rStyle w:val="normaltextrun"/>
          <w:rFonts w:ascii="Calibri" w:hAnsi="Calibri" w:cs="Segoe UI"/>
          <w:color w:val="000000" w:themeColor="text1" w:themeTint="FF" w:themeShade="FF"/>
        </w:rPr>
        <w:t xml:space="preserve">yme disease are rare in the PNW, the map below is from CDC and shows the major areas affected are in the Northeast. </w:t>
      </w:r>
    </w:p>
    <w:p w:rsidR="003F6EE3" w:rsidP="3F411276" w:rsidRDefault="003F6EE3" w14:paraId="64C246CB" w14:textId="18FAB5E0">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3F411276" w:rsidRDefault="003F6EE3" w14:paraId="3CE15CA1" w14:textId="43BF7500">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3F411276" w:rsidR="3F411276">
        <w:rPr>
          <w:rStyle w:val="normaltextrun"/>
          <w:rFonts w:ascii="Calibri" w:hAnsi="Calibri" w:cs="Segoe UI"/>
          <w:color w:val="000000" w:themeColor="text1" w:themeTint="FF" w:themeShade="FF"/>
        </w:rPr>
        <w:t xml:space="preserve">Key take-away points </w:t>
      </w:r>
    </w:p>
    <w:p w:rsidR="003F6EE3" w:rsidP="7B039D0F" w:rsidRDefault="003F6EE3" w14:paraId="15AC9130" w14:textId="5167B72B">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7B039D0F" w:rsidR="7B039D0F">
        <w:rPr>
          <w:rStyle w:val="normaltextrun"/>
          <w:rFonts w:ascii="Calibri" w:hAnsi="Calibri" w:cs="Segoe UI"/>
          <w:color w:val="000000" w:themeColor="text1" w:themeTint="FF" w:themeShade="FF"/>
        </w:rPr>
        <w:t>1.) Test only in cases with clear risk</w:t>
      </w:r>
      <w:r w:rsidRPr="7B039D0F" w:rsidR="7B039D0F">
        <w:rPr>
          <w:rStyle w:val="normaltextrun"/>
          <w:rFonts w:ascii="Calibri" w:hAnsi="Calibri" w:cs="Segoe UI"/>
          <w:color w:val="000000" w:themeColor="text1" w:themeTint="FF" w:themeShade="FF"/>
        </w:rPr>
        <w:t xml:space="preserve"> and a compatible clinical syndrome</w:t>
      </w:r>
    </w:p>
    <w:p w:rsidR="003F6EE3" w:rsidP="3F411276" w:rsidRDefault="003F6EE3" w14:paraId="135CBCA3" w14:textId="7E27D9F2">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3F411276" w:rsidR="3F411276">
        <w:rPr>
          <w:rStyle w:val="normaltextrun"/>
          <w:rFonts w:ascii="Calibri" w:hAnsi="Calibri" w:cs="Segoe UI"/>
          <w:color w:val="000000" w:themeColor="text1" w:themeTint="FF" w:themeShade="FF"/>
        </w:rPr>
        <w:t>2.) Make sure you send to an appropriate lab, many are not reliable testers</w:t>
      </w:r>
    </w:p>
    <w:p w:rsidR="003F6EE3" w:rsidP="3F411276" w:rsidRDefault="003F6EE3" w14:paraId="0D54652B" w14:textId="42945258">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3F411276" w:rsidR="3F411276">
        <w:rPr>
          <w:rStyle w:val="normaltextrun"/>
          <w:rFonts w:ascii="Calibri" w:hAnsi="Calibri" w:cs="Segoe UI"/>
          <w:color w:val="000000" w:themeColor="text1" w:themeTint="FF" w:themeShade="FF"/>
        </w:rPr>
        <w:t>3.) The screening test, ELISA, is very sensitive and needs to be confirmed with a 2</w:t>
      </w:r>
      <w:r w:rsidRPr="3F411276" w:rsidR="3F411276">
        <w:rPr>
          <w:rStyle w:val="normaltextrun"/>
          <w:rFonts w:ascii="Calibri" w:hAnsi="Calibri" w:cs="Segoe UI"/>
          <w:color w:val="000000" w:themeColor="text1" w:themeTint="FF" w:themeShade="FF"/>
          <w:vertAlign w:val="superscript"/>
        </w:rPr>
        <w:t>nd</w:t>
      </w:r>
      <w:r w:rsidRPr="3F411276" w:rsidR="3F411276">
        <w:rPr>
          <w:rStyle w:val="normaltextrun"/>
          <w:rFonts w:ascii="Calibri" w:hAnsi="Calibri" w:cs="Segoe UI"/>
          <w:color w:val="000000" w:themeColor="text1" w:themeTint="FF" w:themeShade="FF"/>
        </w:rPr>
        <w:t xml:space="preserve"> test, often Western Blot to confirm diagnosis and avoid false positives.</w:t>
      </w:r>
    </w:p>
    <w:p w:rsidR="003F6EE3" w:rsidP="7B039D0F" w:rsidRDefault="003F6EE3" w14:paraId="0FC9BF62" w14:textId="680629AC">
      <w:pPr>
        <w:pStyle w:val="paragraph"/>
        <w:spacing w:before="0" w:beforeAutospacing="off" w:after="0" w:afterAutospacing="off"/>
        <w:textAlignment w:val="baseline"/>
        <w:rPr>
          <w:rStyle w:val="normaltextrun"/>
          <w:rFonts w:ascii="Calibri" w:hAnsi="Calibri" w:cs="Segoe UI"/>
          <w:color w:val="000000" w:themeColor="text1" w:themeTint="FF" w:themeShade="FF"/>
        </w:rPr>
      </w:pPr>
      <w:r w:rsidRPr="7B039D0F" w:rsidR="7B039D0F">
        <w:rPr>
          <w:rStyle w:val="normaltextrun"/>
          <w:rFonts w:ascii="Calibri" w:hAnsi="Calibri" w:cs="Segoe UI"/>
          <w:color w:val="000000" w:themeColor="text1" w:themeTint="FF" w:themeShade="FF"/>
        </w:rPr>
        <w:t>4.) The most recent recommended protocol to test Lyme disease is to do 2 ELISA tests and not ELISA + Western Blot, because Western Blot is a harder test to complete accurately</w:t>
      </w:r>
    </w:p>
    <w:p w:rsidR="7B039D0F" w:rsidP="7B039D0F" w:rsidRDefault="7B039D0F" w14:paraId="400CE4DE" w14:textId="0F00D8AD">
      <w:pPr>
        <w:pStyle w:val="paragraph"/>
        <w:spacing w:before="0" w:beforeAutospacing="off" w:after="0" w:afterAutospacing="off"/>
        <w:rPr>
          <w:rStyle w:val="normaltextrun"/>
          <w:rFonts w:ascii="Calibri" w:hAnsi="Calibri" w:cs="Segoe UI"/>
          <w:color w:val="000000" w:themeColor="text1" w:themeTint="FF" w:themeShade="FF"/>
        </w:rPr>
      </w:pPr>
      <w:r w:rsidRPr="7B039D0F" w:rsidR="7B039D0F">
        <w:rPr>
          <w:rStyle w:val="normaltextrun"/>
          <w:rFonts w:ascii="Calibri" w:hAnsi="Calibri" w:cs="Segoe UI"/>
          <w:color w:val="000000" w:themeColor="text1" w:themeTint="FF" w:themeShade="FF"/>
        </w:rPr>
        <w:t xml:space="preserve">5.) We do not see Lyme often in the PNW and many of us lack appropriate expertise. Therefore, it’s reasonable to refer to ID with questions. </w:t>
      </w:r>
    </w:p>
    <w:p w:rsidR="003F6EE3" w:rsidP="3F411276" w:rsidRDefault="003F6EE3" w14:paraId="0089D53A" w14:textId="4BF80C7E">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3F411276" w:rsidRDefault="003F6EE3" w14:paraId="1DD84376" w14:textId="330037F3">
      <w:pPr>
        <w:pStyle w:val="paragraph"/>
        <w:spacing w:before="0" w:beforeAutospacing="off" w:after="0" w:afterAutospacing="off"/>
        <w:textAlignment w:val="baseline"/>
      </w:pPr>
      <w:r>
        <w:drawing>
          <wp:inline wp14:editId="37EE2B5D" wp14:anchorId="4216CB79">
            <wp:extent cx="5940093" cy="4727324"/>
            <wp:effectExtent l="0" t="0" r="0" b="0"/>
            <wp:docPr id="1986853028" name="" title=""/>
            <wp:cNvGraphicFramePr>
              <a:graphicFrameLocks noChangeAspect="1"/>
            </wp:cNvGraphicFramePr>
            <a:graphic>
              <a:graphicData uri="http://schemas.openxmlformats.org/drawingml/2006/picture">
                <pic:pic>
                  <pic:nvPicPr>
                    <pic:cNvPr id="0" name=""/>
                    <pic:cNvPicPr/>
                  </pic:nvPicPr>
                  <pic:blipFill>
                    <a:blip r:embed="Rbd7dce7f239f494b">
                      <a:extLst>
                        <a:ext xmlns:a="http://schemas.openxmlformats.org/drawingml/2006/main" uri="{28A0092B-C50C-407E-A947-70E740481C1C}">
                          <a14:useLocalDpi val="0"/>
                        </a:ext>
                      </a:extLst>
                    </a:blip>
                    <a:stretch>
                      <a:fillRect/>
                    </a:stretch>
                  </pic:blipFill>
                  <pic:spPr>
                    <a:xfrm>
                      <a:off x="0" y="0"/>
                      <a:ext cx="5940093" cy="4727324"/>
                    </a:xfrm>
                    <a:prstGeom prst="rect">
                      <a:avLst/>
                    </a:prstGeom>
                  </pic:spPr>
                </pic:pic>
              </a:graphicData>
            </a:graphic>
          </wp:inline>
        </w:drawing>
      </w:r>
    </w:p>
    <w:p w:rsidR="003F6EE3" w:rsidP="3F411276" w:rsidRDefault="003F6EE3" w14:paraId="14717DE9" w14:textId="16BB6934">
      <w:pPr>
        <w:pStyle w:val="paragraph"/>
        <w:spacing w:before="0" w:beforeAutospacing="off" w:after="0" w:afterAutospacing="off"/>
        <w:textAlignment w:val="baseline"/>
        <w:rPr>
          <w:rStyle w:val="normaltextrun"/>
          <w:rFonts w:ascii="Calibri" w:hAnsi="Calibri" w:cs="Segoe UI"/>
          <w:color w:val="000000" w:themeColor="text1" w:themeTint="FF" w:themeShade="FF"/>
        </w:rPr>
      </w:pPr>
    </w:p>
    <w:p w:rsidR="003F6EE3" w:rsidP="003F6EE3" w:rsidRDefault="003F6EE3" w14:paraId="60F80E3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On behalf of the UW TASP Specialist Team:  </w:t>
      </w:r>
      <w:r>
        <w:rPr>
          <w:rStyle w:val="normaltextrun"/>
          <w:rFonts w:ascii="Calibri" w:hAnsi="Calibri" w:cs="Segoe UI"/>
        </w:rPr>
        <w:t> </w:t>
      </w:r>
      <w:r>
        <w:rPr>
          <w:rStyle w:val="eop"/>
          <w:rFonts w:ascii="Calibri" w:hAnsi="Calibri" w:cs="Segoe UI"/>
        </w:rPr>
        <w:t> </w:t>
      </w:r>
    </w:p>
    <w:p w:rsidR="003F6EE3" w:rsidP="003F6EE3" w:rsidRDefault="003F6EE3" w14:paraId="274715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3F6EE3" w:rsidP="003F6EE3" w:rsidRDefault="003F6EE3" w14:paraId="6D1652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John Lynch, MD MPH</w:t>
      </w:r>
      <w:r>
        <w:rPr>
          <w:rStyle w:val="normaltextrun"/>
          <w:rFonts w:ascii="Calibri" w:hAnsi="Calibri" w:cs="Segoe UI"/>
        </w:rPr>
        <w:t> </w:t>
      </w:r>
      <w:r>
        <w:rPr>
          <w:rStyle w:val="eop"/>
          <w:rFonts w:ascii="Calibri" w:hAnsi="Calibri" w:cs="Segoe UI"/>
        </w:rPr>
        <w:t> </w:t>
      </w:r>
    </w:p>
    <w:p w:rsidR="003F6EE3" w:rsidP="003F6EE3" w:rsidRDefault="003F6EE3" w14:paraId="0C745A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Chloe Bryson-Cahn, MD</w:t>
      </w:r>
      <w:r>
        <w:rPr>
          <w:rStyle w:val="normaltextrun"/>
          <w:rFonts w:ascii="Calibri" w:hAnsi="Calibri" w:cs="Segoe UI"/>
        </w:rPr>
        <w:t> </w:t>
      </w:r>
      <w:r>
        <w:rPr>
          <w:rStyle w:val="eop"/>
          <w:rFonts w:ascii="Calibri" w:hAnsi="Calibri" w:cs="Segoe UI"/>
        </w:rPr>
        <w:t> </w:t>
      </w:r>
    </w:p>
    <w:p w:rsidR="003F6EE3" w:rsidP="003F6EE3" w:rsidRDefault="003F6EE3" w14:paraId="66BF842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Jeannie Chan, PharmD</w:t>
      </w:r>
      <w:r>
        <w:rPr>
          <w:rStyle w:val="normaltextrun"/>
          <w:rFonts w:ascii="Calibri" w:hAnsi="Calibri" w:cs="Segoe UI"/>
        </w:rPr>
        <w:t> </w:t>
      </w:r>
      <w:r>
        <w:rPr>
          <w:rStyle w:val="eop"/>
          <w:rFonts w:ascii="Calibri" w:hAnsi="Calibri" w:cs="Segoe UI"/>
        </w:rPr>
        <w:t> </w:t>
      </w:r>
    </w:p>
    <w:p w:rsidR="003F6EE3" w:rsidP="003F6EE3" w:rsidRDefault="003F6EE3" w14:paraId="5C3D04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rsidR="003F6EE3" w:rsidP="003F6EE3" w:rsidRDefault="003F6EE3" w14:paraId="2BE9A2D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p>
    <w:p w:rsidR="003F6EE3" w:rsidP="003F6EE3" w:rsidRDefault="003F6EE3" w14:paraId="3D18CFD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Paul Pottinger, MD FIDSA</w:t>
      </w:r>
      <w:r>
        <w:rPr>
          <w:rStyle w:val="normaltextrun"/>
          <w:rFonts w:ascii="Calibri" w:hAnsi="Calibri" w:cs="Segoe UI"/>
        </w:rPr>
        <w:t> </w:t>
      </w:r>
      <w:r>
        <w:rPr>
          <w:rStyle w:val="eop"/>
          <w:rFonts w:ascii="Calibri" w:hAnsi="Calibri" w:cs="Segoe UI"/>
        </w:rPr>
        <w:t> </w:t>
      </w:r>
    </w:p>
    <w:p w:rsidR="003F6EE3" w:rsidP="003F6EE3" w:rsidRDefault="003F6EE3" w14:paraId="7BEA85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3F6EE3" w:rsidP="003F6EE3" w:rsidRDefault="003F6EE3" w14:paraId="6F005A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rsidR="00C17F55" w:rsidRDefault="00C17F55" w14:paraId="51DA9038" w14:textId="77777777"/>
    <w:sectPr w:rsidR="00C17F55" w:rsidSect="000D25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D2523"/>
    <w:rsid w:val="003F6EE3"/>
    <w:rsid w:val="008A19A0"/>
    <w:rsid w:val="00937F1A"/>
    <w:rsid w:val="00C17F55"/>
    <w:rsid w:val="3F411276"/>
    <w:rsid w:val="7B039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F6EE3"/>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F6EE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F6EE3"/>
  </w:style>
  <w:style w:type="character" w:styleId="eop" w:customStyle="1">
    <w:name w:val="eop"/>
    <w:basedOn w:val="DefaultParagraphFont"/>
    <w:rsid w:val="003F6EE3"/>
  </w:style>
  <w:style w:type="character" w:styleId="spellingerror" w:customStyle="1">
    <w:name w:val="spellingerror"/>
    <w:basedOn w:val="DefaultParagraphFont"/>
    <w:rsid w:val="003F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 Type="http://schemas.openxmlformats.org/officeDocument/2006/relationships/image" Target="/media/image.png" Id="Rbd7dce7f239f49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8" ma:contentTypeDescription="Create a new document." ma:contentTypeScope="" ma:versionID="fa1d8019fd395bfcff4171774d70db59">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5510db0a5eaecb69b007a203e2ac5733"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3804D-41D6-4FA4-9D9D-F255E2FF5544}"/>
</file>

<file path=customXml/itemProps2.xml><?xml version="1.0" encoding="utf-8"?>
<ds:datastoreItem xmlns:ds="http://schemas.openxmlformats.org/officeDocument/2006/customXml" ds:itemID="{31F812A9-EF79-41F7-99CF-8E00B20D20AB}"/>
</file>

<file path=customXml/itemProps3.xml><?xml version="1.0" encoding="utf-8"?>
<ds:datastoreItem xmlns:ds="http://schemas.openxmlformats.org/officeDocument/2006/customXml" ds:itemID="{A6DD28D6-93E2-4671-BDB9-CFCBCA0E64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Martinez-Paz</dc:creator>
  <keywords/>
  <dc:description/>
  <lastModifiedBy>Chloe Bryson-Cahn</lastModifiedBy>
  <revision>4</revision>
  <dcterms:created xsi:type="dcterms:W3CDTF">2019-10-28T17:59:00.0000000Z</dcterms:created>
  <dcterms:modified xsi:type="dcterms:W3CDTF">2019-11-06T19:56:58.0523011Z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