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F6EE3" w:rsidP="003F6EE3" w:rsidRDefault="003F6EE3" w14:paraId="138347D6" w14:textId="77777777">
      <w:pPr>
        <w:jc w:val="center"/>
      </w:pPr>
      <w:r>
        <w:rPr>
          <w:noProof/>
        </w:rPr>
        <w:drawing>
          <wp:anchor distT="0" distB="0" distL="114300" distR="114300" simplePos="0" relativeHeight="251659264" behindDoc="0" locked="0" layoutInCell="1" allowOverlap="1" wp14:anchorId="7BAB6B70" wp14:editId="424E8F00">
            <wp:simplePos x="0" y="0"/>
            <wp:positionH relativeFrom="margin">
              <wp:posOffset>1731645</wp:posOffset>
            </wp:positionH>
            <wp:positionV relativeFrom="margin">
              <wp:posOffset>-504730</wp:posOffset>
            </wp:positionV>
            <wp:extent cx="2514600" cy="754380"/>
            <wp:effectExtent l="0" t="0" r="0" b="0"/>
            <wp:wrapSquare wrapText="bothSides"/>
            <wp:docPr id="303801434" name="Picture 30380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514600" cy="754380"/>
                    </a:xfrm>
                    <a:prstGeom prst="rect">
                      <a:avLst/>
                    </a:prstGeom>
                  </pic:spPr>
                </pic:pic>
              </a:graphicData>
            </a:graphic>
          </wp:anchor>
        </w:drawing>
      </w:r>
      <w:r w:rsidR="3BA85E94">
        <w:rPr/>
        <w:t/>
      </w:r>
      <w:r w:rsidR="777640F9">
        <w:rPr/>
        <w:t/>
      </w:r>
    </w:p>
    <w:p w:rsidRPr="00D31AEA" w:rsidR="003F6EE3" w:rsidP="003F6EE3" w:rsidRDefault="003F6EE3" w14:paraId="2E679AA2" w14:textId="5B33ACB9">
      <w:pPr>
        <w:rPr>
          <w:rFonts w:asciiTheme="majorHAnsi" w:hAnsiTheme="majorHAnsi" w:eastAsiaTheme="majorEastAsia" w:cstheme="majorBidi"/>
          <w:b/>
          <w:bCs/>
          <w:color w:val="000000" w:themeColor="text1"/>
          <w:sz w:val="32"/>
          <w:szCs w:val="32"/>
        </w:rPr>
      </w:pPr>
      <w:r w:rsidRPr="00D31AEA">
        <w:rPr>
          <w:rFonts w:asciiTheme="majorHAnsi" w:hAnsiTheme="majorHAnsi" w:eastAsiaTheme="majorEastAsia" w:cstheme="majorBidi"/>
          <w:b/>
          <w:bCs/>
          <w:sz w:val="32"/>
          <w:szCs w:val="32"/>
        </w:rPr>
        <w:t xml:space="preserve">Hospital: </w:t>
      </w:r>
      <w:r w:rsidR="009C32B7">
        <w:rPr>
          <w:rFonts w:asciiTheme="majorHAnsi" w:hAnsiTheme="majorHAnsi" w:eastAsiaTheme="majorEastAsia" w:cstheme="majorBidi"/>
          <w:b/>
          <w:bCs/>
          <w:sz w:val="32"/>
          <w:szCs w:val="32"/>
        </w:rPr>
        <w:t xml:space="preserve">Confluence </w:t>
      </w:r>
    </w:p>
    <w:p w:rsidRPr="00D31AEA" w:rsidR="003F6EE3" w:rsidP="003F6EE3" w:rsidRDefault="003F6EE3" w14:paraId="57A4140A" w14:textId="19A901D0">
      <w:pPr>
        <w:rPr>
          <w:rFonts w:asciiTheme="majorHAnsi" w:hAnsiTheme="majorHAnsi" w:eastAsiaTheme="majorEastAsia" w:cstheme="majorBidi"/>
          <w:b/>
          <w:bCs/>
          <w:color w:val="000000" w:themeColor="text1"/>
          <w:sz w:val="32"/>
          <w:szCs w:val="32"/>
        </w:rPr>
      </w:pPr>
      <w:r w:rsidRPr="00D31AEA">
        <w:rPr>
          <w:rFonts w:asciiTheme="majorHAnsi" w:hAnsiTheme="majorHAnsi" w:eastAsiaTheme="majorEastAsia" w:cstheme="majorBidi"/>
          <w:b/>
          <w:bCs/>
          <w:sz w:val="32"/>
          <w:szCs w:val="32"/>
        </w:rPr>
        <w:t xml:space="preserve">Presenter: </w:t>
      </w:r>
      <w:proofErr w:type="spellStart"/>
      <w:r w:rsidR="009C32B7">
        <w:rPr>
          <w:rFonts w:asciiTheme="majorHAnsi" w:hAnsiTheme="majorHAnsi" w:eastAsiaTheme="majorEastAsia" w:cstheme="majorBidi"/>
          <w:b/>
          <w:bCs/>
          <w:sz w:val="32"/>
          <w:szCs w:val="32"/>
        </w:rPr>
        <w:t>Khoa</w:t>
      </w:r>
      <w:proofErr w:type="spellEnd"/>
      <w:r w:rsidR="009C32B7">
        <w:rPr>
          <w:rFonts w:asciiTheme="majorHAnsi" w:hAnsiTheme="majorHAnsi" w:eastAsiaTheme="majorEastAsia" w:cstheme="majorBidi"/>
          <w:b/>
          <w:bCs/>
          <w:sz w:val="32"/>
          <w:szCs w:val="32"/>
        </w:rPr>
        <w:t xml:space="preserve"> </w:t>
      </w:r>
      <w:proofErr w:type="spellStart"/>
      <w:r w:rsidR="009C32B7">
        <w:rPr>
          <w:rFonts w:asciiTheme="majorHAnsi" w:hAnsiTheme="majorHAnsi" w:eastAsiaTheme="majorEastAsia" w:cstheme="majorBidi"/>
          <w:b/>
          <w:bCs/>
          <w:sz w:val="32"/>
          <w:szCs w:val="32"/>
        </w:rPr>
        <w:t>Nyguen</w:t>
      </w:r>
      <w:proofErr w:type="spellEnd"/>
      <w:r w:rsidR="009C32B7">
        <w:rPr>
          <w:rFonts w:asciiTheme="majorHAnsi" w:hAnsiTheme="majorHAnsi" w:eastAsiaTheme="majorEastAsia" w:cstheme="majorBidi"/>
          <w:b/>
          <w:bCs/>
          <w:sz w:val="32"/>
          <w:szCs w:val="32"/>
        </w:rPr>
        <w:t xml:space="preserve"> </w:t>
      </w:r>
    </w:p>
    <w:p w:rsidR="003F6EE3" w:rsidP="676D770B" w:rsidRDefault="003F6EE3" w14:paraId="4CA19FA5" w14:textId="08CF6F24">
      <w:pPr>
        <w:rPr>
          <w:rFonts w:ascii="Calibri Light" w:hAnsi="Calibri Light" w:eastAsia="" w:cs="" w:asciiTheme="majorAscii" w:hAnsiTheme="majorAscii" w:eastAsiaTheme="majorEastAsia" w:cstheme="majorBidi"/>
          <w:color w:val="000000" w:themeColor="text1" w:themeTint="FF" w:themeShade="FF"/>
          <w:sz w:val="24"/>
          <w:szCs w:val="24"/>
        </w:rPr>
      </w:pP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 xml:space="preserve">Question/case summary: </w:t>
      </w:r>
    </w:p>
    <w:p w:rsidRPr="009C32B7" w:rsidR="009C32B7" w:rsidP="676D770B" w:rsidRDefault="009C32B7" w14:paraId="0E8018F6" w14:textId="070A3CBD">
      <w:pPr>
        <w:pStyle w:val="Normal"/>
        <w:rPr>
          <w:rFonts w:ascii="Calibri Light" w:hAnsi="Calibri Light" w:eastAsia="" w:cs="" w:asciiTheme="majorAscii" w:hAnsiTheme="majorAscii" w:eastAsiaTheme="majorEastAsia" w:cstheme="majorBidi"/>
          <w:color w:val="000000" w:themeColor="text1" w:themeTint="FF" w:themeShade="FF"/>
          <w:sz w:val="24"/>
          <w:szCs w:val="24"/>
        </w:rPr>
      </w:pP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 xml:space="preserve">Pt with ESRD on hemodialysis who presented with confusion. UA and Urine culture obtained – grew and unusual GNR (sensitive to ceftriaxone and cefazolin) - started on </w:t>
      </w: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ceftraixone</w:t>
      </w: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 xml:space="preserve">. </w:t>
      </w:r>
      <w:proofErr w:type="spellStart"/>
      <w:proofErr w:type="spellEnd"/>
      <w:proofErr w:type="gramStart"/>
      <w:proofErr w:type="gramEnd"/>
    </w:p>
    <w:p w:rsidRPr="009C32B7" w:rsidR="009C32B7" w:rsidP="676D770B" w:rsidRDefault="009C32B7" w14:paraId="099154D5" w14:textId="3B60A8D5">
      <w:pPr>
        <w:pStyle w:val="Normal"/>
        <w:rPr>
          <w:rFonts w:ascii="Calibri Light" w:hAnsi="Calibri Light" w:eastAsia="" w:cs="" w:asciiTheme="majorAscii" w:hAnsiTheme="majorAscii" w:eastAsiaTheme="majorEastAsia" w:cstheme="majorBidi"/>
          <w:color w:val="000000" w:themeColor="text1" w:themeTint="FF" w:themeShade="FF"/>
          <w:sz w:val="24"/>
          <w:szCs w:val="24"/>
        </w:rPr>
      </w:pP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We were</w:t>
      </w: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 xml:space="preserve"> debating about switching to a PO option such as either cefpodoxime or even cephalexin</w:t>
      </w: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 xml:space="preserve">; </w:t>
      </w:r>
      <w:r w:rsidRPr="676D770B" w:rsidR="676D770B">
        <w:rPr>
          <w:rFonts w:ascii="Calibri Light" w:hAnsi="Calibri Light" w:eastAsia="" w:cs="" w:asciiTheme="majorAscii" w:hAnsiTheme="majorAscii" w:eastAsiaTheme="majorEastAsia" w:cstheme="majorBidi"/>
          <w:color w:val="000000" w:themeColor="text1" w:themeTint="FF" w:themeShade="FF"/>
          <w:sz w:val="24"/>
          <w:szCs w:val="24"/>
        </w:rPr>
        <w:t>however, as this is a HD patient, we unsure if this would be effective for a cystitis.</w:t>
      </w:r>
    </w:p>
    <w:p w:rsidRPr="009C32B7" w:rsidR="009C32B7" w:rsidP="009C32B7" w:rsidRDefault="009C32B7" w14:paraId="142C9AC7" w14:textId="21CC3D62">
      <w:pPr>
        <w:rPr>
          <w:rFonts w:asciiTheme="majorHAnsi" w:hAnsiTheme="majorHAnsi" w:eastAsiaTheme="majorEastAsia" w:cstheme="majorBidi"/>
          <w:color w:val="000000" w:themeColor="text1"/>
          <w:sz w:val="24"/>
          <w:szCs w:val="24"/>
        </w:rPr>
      </w:pPr>
      <w:r w:rsidRPr="009C32B7">
        <w:rPr>
          <w:rFonts w:asciiTheme="majorHAnsi" w:hAnsiTheme="majorHAnsi" w:eastAsiaTheme="majorEastAsia" w:cstheme="majorBidi"/>
          <w:color w:val="000000" w:themeColor="text1"/>
          <w:sz w:val="24"/>
          <w:szCs w:val="24"/>
        </w:rPr>
        <w:t>There was concern that an agent that is normally renally cleared will not accumulate adequate levels in the urinary tract and thus might not be effective for treatment in an HD pt. We decided to leave ceftriaxone for 5 days total in the end.</w:t>
      </w:r>
      <w:bookmarkStart w:name="_GoBack" w:id="0"/>
      <w:bookmarkEnd w:id="0"/>
    </w:p>
    <w:p w:rsidRPr="009C32B7" w:rsidR="009C32B7" w:rsidP="009C32B7" w:rsidRDefault="009C32B7" w14:paraId="0E3A75C0" w14:textId="77777777">
      <w:pPr>
        <w:rPr>
          <w:rFonts w:asciiTheme="majorHAnsi" w:hAnsiTheme="majorHAnsi" w:eastAsiaTheme="majorEastAsia" w:cstheme="majorBidi"/>
          <w:color w:val="000000" w:themeColor="text1"/>
          <w:sz w:val="24"/>
          <w:szCs w:val="24"/>
        </w:rPr>
      </w:pPr>
      <w:r w:rsidRPr="009C32B7">
        <w:rPr>
          <w:rFonts w:asciiTheme="majorHAnsi" w:hAnsiTheme="majorHAnsi" w:eastAsiaTheme="majorEastAsia" w:cstheme="majorBidi"/>
          <w:color w:val="000000" w:themeColor="text1"/>
          <w:sz w:val="24"/>
          <w:szCs w:val="24"/>
        </w:rPr>
        <w:t xml:space="preserve">Although there are renal dosing adjustments for say cephalexin, my understanding is that those mainly help reduce </w:t>
      </w:r>
      <w:proofErr w:type="spellStart"/>
      <w:r w:rsidRPr="009C32B7">
        <w:rPr>
          <w:rFonts w:asciiTheme="majorHAnsi" w:hAnsiTheme="majorHAnsi" w:eastAsiaTheme="majorEastAsia" w:cstheme="majorBidi"/>
          <w:color w:val="000000" w:themeColor="text1"/>
          <w:sz w:val="24"/>
          <w:szCs w:val="24"/>
        </w:rPr>
        <w:t>build up</w:t>
      </w:r>
      <w:proofErr w:type="spellEnd"/>
      <w:r w:rsidRPr="009C32B7">
        <w:rPr>
          <w:rFonts w:asciiTheme="majorHAnsi" w:hAnsiTheme="majorHAnsi" w:eastAsiaTheme="majorEastAsia" w:cstheme="majorBidi"/>
          <w:color w:val="000000" w:themeColor="text1"/>
          <w:sz w:val="24"/>
          <w:szCs w:val="24"/>
        </w:rPr>
        <w:t xml:space="preserve"> of toxic serum levels. </w:t>
      </w:r>
      <w:proofErr w:type="gramStart"/>
      <w:r w:rsidRPr="009C32B7">
        <w:rPr>
          <w:rFonts w:asciiTheme="majorHAnsi" w:hAnsiTheme="majorHAnsi" w:eastAsiaTheme="majorEastAsia" w:cstheme="majorBidi"/>
          <w:color w:val="000000" w:themeColor="text1"/>
          <w:sz w:val="24"/>
          <w:szCs w:val="24"/>
        </w:rPr>
        <w:t>So</w:t>
      </w:r>
      <w:proofErr w:type="gramEnd"/>
      <w:r w:rsidRPr="009C32B7">
        <w:rPr>
          <w:rFonts w:asciiTheme="majorHAnsi" w:hAnsiTheme="majorHAnsi" w:eastAsiaTheme="majorEastAsia" w:cstheme="majorBidi"/>
          <w:color w:val="000000" w:themeColor="text1"/>
          <w:sz w:val="24"/>
          <w:szCs w:val="24"/>
        </w:rPr>
        <w:t xml:space="preserve"> if you're on dialysis and have minimal renal function, would something like cephalexin still be able to build a sufficient concentration in the urinary tract to treat a cystitis like ceftriaxone?</w:t>
      </w:r>
    </w:p>
    <w:p w:rsidR="003F6EE3" w:rsidP="003F6EE3" w:rsidRDefault="003F6EE3" w14:paraId="2A3C84B5" w14:textId="77777777">
      <w:pPr>
        <w:rPr>
          <w:rFonts w:asciiTheme="majorHAnsi" w:hAnsiTheme="majorHAnsi" w:eastAsiaTheme="majorEastAsia" w:cstheme="majorBidi"/>
          <w:color w:val="000000" w:themeColor="text1"/>
          <w:sz w:val="24"/>
          <w:szCs w:val="24"/>
        </w:rPr>
      </w:pPr>
    </w:p>
    <w:p w:rsidR="003F6EE3" w:rsidP="3BA85E94" w:rsidRDefault="003F6EE3" w14:paraId="3A7FB2ED" w14:textId="2E936CDD">
      <w:pPr>
        <w:spacing w:before="0" w:beforeAutospacing="0" w:after="0" w:afterAutospacing="0"/>
        <w:textAlignment w:val="baseline"/>
        <w:rPr>
          <w:rFonts w:ascii="Calibri Light" w:hAnsi="Calibri Light" w:eastAsia="" w:cs="" w:asciiTheme="majorAscii" w:hAnsiTheme="majorAscii" w:eastAsiaTheme="majorEastAsia" w:cstheme="majorBidi"/>
          <w:color w:val="000000" w:themeColor="text1" w:themeTint="FF" w:themeShade="FF"/>
          <w:sz w:val="24"/>
          <w:szCs w:val="24"/>
        </w:rPr>
      </w:pPr>
      <w:r w:rsidRPr="3BA85E94" w:rsidR="3BA85E94">
        <w:rPr>
          <w:rFonts w:ascii="Calibri Light" w:hAnsi="Calibri Light" w:eastAsia="" w:cs="" w:asciiTheme="majorAscii" w:hAnsiTheme="majorAscii" w:eastAsiaTheme="majorEastAsia" w:cstheme="majorBidi"/>
          <w:color w:val="000000" w:themeColor="text1" w:themeTint="FF" w:themeShade="FF"/>
          <w:sz w:val="24"/>
          <w:szCs w:val="24"/>
        </w:rPr>
        <w:t xml:space="preserve">UW TASP Recommendations: </w:t>
      </w:r>
    </w:p>
    <w:p w:rsidR="3BA85E94" w:rsidP="3BA85E94" w:rsidRDefault="3BA85E94" w14:paraId="4359650D" w14:textId="774A2AE7">
      <w:pPr>
        <w:pStyle w:val="paragraph"/>
        <w:spacing w:before="0" w:beforeAutospacing="off" w:after="0" w:afterAutospacing="off"/>
        <w:rPr>
          <w:rStyle w:val="normaltextrun"/>
          <w:rFonts w:ascii="Calibri" w:hAnsi="Calibri" w:cs="Segoe UI"/>
          <w:color w:val="000000" w:themeColor="text1" w:themeTint="FF" w:themeShade="FF"/>
        </w:rPr>
      </w:pPr>
    </w:p>
    <w:p w:rsidR="777640F9" w:rsidP="777640F9" w:rsidRDefault="777640F9" w14:paraId="1E9C066B" w14:textId="2E85C40D">
      <w:pPr>
        <w:pStyle w:val="paragraph"/>
        <w:bidi w:val="0"/>
        <w:spacing w:before="0" w:beforeAutospacing="off" w:after="0" w:afterAutospacing="off" w:line="240" w:lineRule="auto"/>
        <w:ind w:left="0" w:right="0"/>
        <w:jc w:val="left"/>
        <w:rPr>
          <w:rStyle w:val="normaltextrun"/>
          <w:rFonts w:ascii="Calibri" w:hAnsi="Calibri" w:cs="Segoe UI"/>
          <w:color w:val="000000" w:themeColor="text1" w:themeTint="FF" w:themeShade="FF"/>
        </w:rPr>
      </w:pPr>
      <w:r w:rsidRPr="777640F9" w:rsidR="777640F9">
        <w:rPr>
          <w:rStyle w:val="normaltextrun"/>
          <w:rFonts w:ascii="Calibri" w:hAnsi="Calibri" w:cs="Segoe UI"/>
          <w:color w:val="000000" w:themeColor="text1" w:themeTint="FF" w:themeShade="FF"/>
        </w:rPr>
        <w:t xml:space="preserve">Regarding treatment: The </w:t>
      </w:r>
      <w:r w:rsidRPr="777640F9" w:rsidR="777640F9">
        <w:rPr>
          <w:rStyle w:val="normaltextrun"/>
          <w:rFonts w:ascii="Calibri" w:hAnsi="Calibri" w:cs="Segoe UI"/>
          <w:color w:val="000000" w:themeColor="text1" w:themeTint="FF" w:themeShade="FF"/>
        </w:rPr>
        <w:t xml:space="preserve">first line and second line </w:t>
      </w:r>
      <w:r w:rsidRPr="777640F9" w:rsidR="777640F9">
        <w:rPr>
          <w:rStyle w:val="normaltextrun"/>
          <w:rFonts w:ascii="Calibri" w:hAnsi="Calibri" w:cs="Segoe UI"/>
          <w:color w:val="000000" w:themeColor="text1" w:themeTint="FF" w:themeShade="FF"/>
        </w:rPr>
        <w:t>UTI treatments will still work in ESRD patients. GFR may be significantly reduced but antibiotics will get to the site of infection via the circulatory system</w:t>
      </w:r>
      <w:r w:rsidRPr="777640F9" w:rsidR="777640F9">
        <w:rPr>
          <w:rStyle w:val="normaltextrun"/>
          <w:rFonts w:ascii="Calibri" w:hAnsi="Calibri" w:cs="Segoe UI"/>
          <w:color w:val="000000" w:themeColor="text1" w:themeTint="FF" w:themeShade="FF"/>
        </w:rPr>
        <w:t>. The exception is nitrofurantoin, which requires active renal secretion to achieve effective therapeutic concentrations. This agent should be avoided.</w:t>
      </w:r>
    </w:p>
    <w:p w:rsidR="777640F9" w:rsidP="777640F9" w:rsidRDefault="777640F9" w14:paraId="2DB7407D" w14:textId="7E8817F7">
      <w:pPr>
        <w:pStyle w:val="paragraph"/>
        <w:bidi w:val="0"/>
        <w:spacing w:before="0" w:beforeAutospacing="off" w:after="0" w:afterAutospacing="off" w:line="240" w:lineRule="auto"/>
        <w:ind w:left="0" w:right="0"/>
        <w:jc w:val="left"/>
        <w:rPr>
          <w:rStyle w:val="normaltextrun"/>
          <w:rFonts w:ascii="Calibri" w:hAnsi="Calibri" w:cs="Segoe UI"/>
          <w:color w:val="000000" w:themeColor="text1" w:themeTint="FF" w:themeShade="FF"/>
        </w:rPr>
      </w:pPr>
    </w:p>
    <w:p w:rsidR="777640F9" w:rsidP="777640F9" w:rsidRDefault="777640F9" w14:paraId="749AD1D6" w14:textId="26A972CC">
      <w:pPr>
        <w:pStyle w:val="paragraph"/>
        <w:bidi w:val="0"/>
        <w:spacing w:before="0" w:beforeAutospacing="off" w:after="0" w:afterAutospacing="off" w:line="240" w:lineRule="auto"/>
        <w:ind w:left="0" w:right="0"/>
        <w:jc w:val="left"/>
        <w:rPr>
          <w:rStyle w:val="normaltextrun"/>
          <w:rFonts w:ascii="Calibri" w:hAnsi="Calibri" w:cs="Segoe UI"/>
          <w:color w:val="000000" w:themeColor="text1" w:themeTint="FF" w:themeShade="FF"/>
        </w:rPr>
      </w:pPr>
      <w:r w:rsidRPr="777640F9" w:rsidR="777640F9">
        <w:rPr>
          <w:rStyle w:val="normaltextrun"/>
          <w:rFonts w:ascii="Calibri" w:hAnsi="Calibri" w:cs="Segoe UI"/>
          <w:color w:val="000000" w:themeColor="text1" w:themeTint="FF" w:themeShade="FF"/>
        </w:rPr>
        <w:t xml:space="preserve">As far as the appropriateness of treatment in the first place, cystitis is a questionable diagnosis in ESRD/HD patients. A review of alternative causes is appropriate, </w:t>
      </w:r>
      <w:r w:rsidRPr="777640F9" w:rsidR="777640F9">
        <w:rPr>
          <w:rStyle w:val="normaltextrun"/>
          <w:rFonts w:ascii="Calibri" w:hAnsi="Calibri" w:cs="Segoe UI"/>
          <w:color w:val="000000" w:themeColor="text1" w:themeTint="FF" w:themeShade="FF"/>
        </w:rPr>
        <w:t>i</w:t>
      </w:r>
      <w:r w:rsidRPr="777640F9" w:rsidR="777640F9">
        <w:rPr>
          <w:rStyle w:val="normaltextrun"/>
          <w:rFonts w:ascii="Calibri" w:hAnsi="Calibri" w:cs="Segoe UI"/>
          <w:color w:val="000000" w:themeColor="text1" w:themeTint="FF" w:themeShade="FF"/>
        </w:rPr>
        <w:t>.e. metabolic acidosis, other medications, particularly if the patient is altered</w:t>
      </w:r>
      <w:r w:rsidRPr="777640F9" w:rsidR="777640F9">
        <w:rPr>
          <w:rStyle w:val="normaltextrun"/>
          <w:rFonts w:ascii="Calibri" w:hAnsi="Calibri" w:cs="Segoe UI"/>
          <w:color w:val="000000" w:themeColor="text1" w:themeTint="FF" w:themeShade="FF"/>
        </w:rPr>
        <w:t>.</w:t>
      </w:r>
    </w:p>
    <w:p w:rsidR="777640F9" w:rsidP="777640F9" w:rsidRDefault="777640F9" w14:paraId="1C013536" w14:textId="78045382">
      <w:pPr>
        <w:pStyle w:val="paragraph"/>
        <w:spacing w:before="0" w:beforeAutospacing="off" w:after="0" w:afterAutospacing="off"/>
        <w:rPr>
          <w:rStyle w:val="normaltextrun"/>
          <w:rFonts w:ascii="Calibri" w:hAnsi="Calibri" w:cs="Segoe UI"/>
          <w:color w:val="000000" w:themeColor="text1" w:themeTint="FF" w:themeShade="FF"/>
        </w:rPr>
      </w:pPr>
    </w:p>
    <w:p w:rsidR="3BA85E94" w:rsidP="676D770B" w:rsidRDefault="3BA85E94" w14:paraId="544A41EB" w14:textId="08A548DF">
      <w:pPr>
        <w:pStyle w:val="paragraph"/>
        <w:spacing w:before="0" w:beforeAutospacing="off" w:after="0" w:afterAutospacing="off"/>
        <w:rPr>
          <w:rStyle w:val="normaltextrun"/>
          <w:rFonts w:ascii="Calibri" w:hAnsi="Calibri" w:cs="Segoe UI"/>
          <w:color w:val="000000" w:themeColor="text1" w:themeTint="FF" w:themeShade="FF"/>
        </w:rPr>
      </w:pPr>
      <w:r w:rsidRPr="676D770B" w:rsidR="676D770B">
        <w:rPr>
          <w:rStyle w:val="normaltextrun"/>
          <w:rFonts w:ascii="Calibri" w:hAnsi="Calibri" w:cs="Segoe UI"/>
          <w:color w:val="000000" w:themeColor="text1" w:themeTint="FF" w:themeShade="FF"/>
        </w:rPr>
        <w:t>In a 6-year retrospective review of ESRD patients on HD with bacteriuria, only 30% had clinical symptoms. 65% were prescribed antibiotics. In a regression analysis of readmission rate, antibiotics made no difference in readmission: 50% readmitted who received antibiotics and 50% readmitted who didn’t received antibiotics (P = 1). Nine patients (13%) developed CDI within 6 months of the episode of bacteriuria.</w:t>
      </w:r>
      <w:r>
        <w:br/>
      </w:r>
      <w:hyperlink r:id="Rbb524aaab59e4ea2">
        <w:r w:rsidRPr="676D770B" w:rsidR="676D770B">
          <w:rPr>
            <w:rStyle w:val="Hyperlink"/>
            <w:noProof w:val="0"/>
            <w:lang w:val="en-US"/>
          </w:rPr>
          <w:t>https://www.ncbi.nlm.nih.gov/pmc/articles/PMC5898183/</w:t>
        </w:r>
      </w:hyperlink>
    </w:p>
    <w:p w:rsidR="3BA85E94" w:rsidP="3BA85E94" w:rsidRDefault="3BA85E94" w14:paraId="25E24BB9" w14:textId="0F05DC20">
      <w:pPr>
        <w:pStyle w:val="paragraph"/>
        <w:spacing w:before="0" w:beforeAutospacing="off" w:after="0" w:afterAutospacing="off"/>
      </w:pPr>
      <w:r>
        <w:drawing>
          <wp:inline wp14:editId="54DBFB8A" wp14:anchorId="1B9486F5">
            <wp:extent cx="4698224" cy="5723724"/>
            <wp:effectExtent l="0" t="0" r="0" b="0"/>
            <wp:docPr id="468008749" name="" title=""/>
            <wp:cNvGraphicFramePr>
              <a:graphicFrameLocks noChangeAspect="1"/>
            </wp:cNvGraphicFramePr>
            <a:graphic>
              <a:graphicData uri="http://schemas.openxmlformats.org/drawingml/2006/picture">
                <pic:pic>
                  <pic:nvPicPr>
                    <pic:cNvPr id="0" name=""/>
                    <pic:cNvPicPr/>
                  </pic:nvPicPr>
                  <pic:blipFill>
                    <a:blip r:embed="R7aa1969c83134f1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698224" cy="5723724"/>
                    </a:xfrm>
                    <a:prstGeom prst="rect">
                      <a:avLst/>
                    </a:prstGeom>
                  </pic:spPr>
                </pic:pic>
              </a:graphicData>
            </a:graphic>
          </wp:inline>
        </w:drawing>
      </w:r>
    </w:p>
    <w:p w:rsidR="003F6EE3" w:rsidP="003F6EE3" w:rsidRDefault="003F6EE3" w14:paraId="3C8913E1"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71CC6997" w14:textId="77777777">
      <w:pPr>
        <w:pStyle w:val="paragraph"/>
        <w:spacing w:before="0" w:beforeAutospacing="0" w:after="0" w:afterAutospacing="0"/>
        <w:textAlignment w:val="baseline"/>
        <w:rPr>
          <w:rStyle w:val="normaltextrun"/>
          <w:rFonts w:ascii="Calibri" w:hAnsi="Calibri" w:cs="Segoe UI"/>
          <w:color w:val="000000"/>
        </w:rPr>
      </w:pPr>
    </w:p>
    <w:p w:rsidR="676D770B" w:rsidP="676D770B" w:rsidRDefault="676D770B" w14:paraId="66FD6D7E" w14:textId="7E276EA0">
      <w:pPr>
        <w:pStyle w:val="Normal"/>
        <w:rPr>
          <w:noProof w:val="0"/>
          <w:color w:val="000000" w:themeColor="text1" w:themeTint="FF" w:themeShade="FF"/>
          <w:sz w:val="24"/>
          <w:szCs w:val="24"/>
          <w:lang w:val="en-US"/>
        </w:rPr>
      </w:pPr>
      <w:r w:rsidRPr="676D770B" w:rsidR="676D770B">
        <w:rPr>
          <w:rStyle w:val="normaltextrun"/>
          <w:rFonts w:ascii="Calibri" w:hAnsi="Calibri" w:cs="Segoe UI"/>
          <w:color w:val="000000" w:themeColor="text1" w:themeTint="FF" w:themeShade="FF"/>
          <w:sz w:val="24"/>
          <w:szCs w:val="24"/>
        </w:rPr>
        <w:t>Additionally, the IDSA offers new guidelines for asymptomatic bacteriuria which may be relevant here. “</w:t>
      </w:r>
      <w:r w:rsidRPr="676D770B" w:rsidR="676D770B">
        <w:rPr>
          <w:noProof w:val="0"/>
          <w:color w:val="000000" w:themeColor="text1" w:themeTint="FF" w:themeShade="FF"/>
          <w:sz w:val="24"/>
          <w:szCs w:val="24"/>
          <w:lang w:val="en-US"/>
        </w:rPr>
        <w:t>In older patients with functional and/or cognitive impairment with bacteriuria and delirium (acute mental status change, confusion) and without local genitourinary symptoms or other systemic signs of infection (</w:t>
      </w:r>
      <w:proofErr w:type="spellStart"/>
      <w:r w:rsidRPr="676D770B" w:rsidR="676D770B">
        <w:rPr>
          <w:noProof w:val="0"/>
          <w:color w:val="000000" w:themeColor="text1" w:themeTint="FF" w:themeShade="FF"/>
          <w:sz w:val="24"/>
          <w:szCs w:val="24"/>
          <w:lang w:val="en-US"/>
        </w:rPr>
        <w:t>eg</w:t>
      </w:r>
      <w:proofErr w:type="spellEnd"/>
      <w:r w:rsidRPr="676D770B" w:rsidR="676D770B">
        <w:rPr>
          <w:noProof w:val="0"/>
          <w:color w:val="000000" w:themeColor="text1" w:themeTint="FF" w:themeShade="FF"/>
          <w:sz w:val="24"/>
          <w:szCs w:val="24"/>
          <w:lang w:val="en-US"/>
        </w:rPr>
        <w:t xml:space="preserve">, fever or hemodynamic instability), we recommend assessment for other causes and careful observation rather than antimicrobial treatment </w:t>
      </w:r>
      <w:r w:rsidRPr="676D770B" w:rsidR="676D770B">
        <w:rPr>
          <w:i w:val="1"/>
          <w:iCs w:val="1"/>
          <w:noProof w:val="0"/>
          <w:color w:val="000000" w:themeColor="text1" w:themeTint="FF" w:themeShade="FF"/>
          <w:sz w:val="24"/>
          <w:szCs w:val="24"/>
          <w:lang w:val="en-US"/>
        </w:rPr>
        <w:t>(strong recommendation, very low-quality evidence)</w:t>
      </w:r>
      <w:r w:rsidRPr="676D770B" w:rsidR="676D770B">
        <w:rPr>
          <w:noProof w:val="0"/>
          <w:color w:val="000000" w:themeColor="text1" w:themeTint="FF" w:themeShade="FF"/>
          <w:sz w:val="24"/>
          <w:szCs w:val="24"/>
          <w:lang w:val="en-US"/>
        </w:rPr>
        <w:t>.”</w:t>
      </w:r>
      <w:r w:rsidRPr="676D770B" w:rsidR="676D770B">
        <w:rPr>
          <w:noProof w:val="0"/>
          <w:color w:val="000000" w:themeColor="text1" w:themeTint="FF" w:themeShade="FF"/>
          <w:sz w:val="24"/>
          <w:szCs w:val="24"/>
          <w:vertAlign w:val="superscript"/>
          <w:lang w:val="en-US"/>
        </w:rPr>
        <w:t>3</w:t>
      </w:r>
      <w:r w:rsidRPr="676D770B" w:rsidR="676D770B">
        <w:rPr>
          <w:noProof w:val="0"/>
          <w:color w:val="000000" w:themeColor="text1" w:themeTint="FF" w:themeShade="FF"/>
          <w:sz w:val="24"/>
          <w:szCs w:val="24"/>
          <w:lang w:val="en-US"/>
        </w:rPr>
        <w:t xml:space="preserve"> </w:t>
      </w:r>
    </w:p>
    <w:p w:rsidR="676D770B" w:rsidP="676D770B" w:rsidRDefault="676D770B" w14:paraId="6A5B7A4A" w14:textId="14E8275F">
      <w:pPr>
        <w:pStyle w:val="paragraph"/>
        <w:spacing w:before="0" w:beforeAutospacing="off" w:after="0" w:afterAutospacing="off"/>
        <w:rPr>
          <w:rStyle w:val="normaltextrun"/>
          <w:rFonts w:ascii="Calibri" w:hAnsi="Calibri" w:cs="Segoe UI"/>
          <w:color w:val="000000" w:themeColor="text1" w:themeTint="FF" w:themeShade="FF"/>
        </w:rPr>
      </w:pPr>
    </w:p>
    <w:p w:rsidR="003F6EE3" w:rsidP="003F6EE3" w:rsidRDefault="003F6EE3" w14:paraId="382ADD82"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5F80A123"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64B29E8B"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33792ABD" w14:textId="77777777">
      <w:pPr>
        <w:pStyle w:val="paragraph"/>
        <w:spacing w:before="0" w:beforeAutospacing="0" w:after="0" w:afterAutospacing="0"/>
        <w:textAlignment w:val="baseline"/>
        <w:rPr>
          <w:rStyle w:val="normaltextrun"/>
          <w:rFonts w:ascii="Calibri" w:hAnsi="Calibri" w:cs="Segoe UI"/>
          <w:color w:val="000000"/>
        </w:rPr>
      </w:pPr>
    </w:p>
    <w:p w:rsidR="003F6EE3" w:rsidP="3BA85E94" w:rsidRDefault="003F6EE3" w14:paraId="4A69723F" w14:textId="344D7DB4">
      <w:pPr>
        <w:pStyle w:val="paragraph"/>
        <w:spacing w:before="0" w:beforeAutospacing="off" w:after="0" w:afterAutospacing="off"/>
        <w:textAlignment w:val="baseline"/>
        <w:rPr>
          <w:rStyle w:val="normaltextrun"/>
          <w:rFonts w:ascii="Calibri" w:hAnsi="Calibri" w:cs="Segoe UI"/>
          <w:b w:val="1"/>
          <w:bCs w:val="1"/>
          <w:color w:val="000000" w:themeColor="text1" w:themeTint="FF" w:themeShade="FF"/>
          <w:u w:val="single"/>
        </w:rPr>
      </w:pPr>
      <w:r w:rsidRPr="3BA85E94" w:rsidR="3BA85E94">
        <w:rPr>
          <w:rStyle w:val="normaltextrun"/>
          <w:rFonts w:ascii="Calibri" w:hAnsi="Calibri" w:cs="Segoe UI"/>
          <w:b w:val="1"/>
          <w:bCs w:val="1"/>
          <w:color w:val="000000" w:themeColor="text1" w:themeTint="FF" w:themeShade="FF"/>
          <w:u w:val="single"/>
        </w:rPr>
        <w:t>References</w:t>
      </w:r>
    </w:p>
    <w:p w:rsidR="3BA85E94" w:rsidP="3BA85E94" w:rsidRDefault="3BA85E94" w14:paraId="3271E552" w14:textId="397EF039">
      <w:pPr>
        <w:pStyle w:val="ListParagraph"/>
        <w:numPr>
          <w:ilvl w:val="0"/>
          <w:numId w:val="1"/>
        </w:numPr>
        <w:rPr>
          <w:sz w:val="22"/>
          <w:szCs w:val="22"/>
        </w:rPr>
      </w:pPr>
      <w:proofErr w:type="spellStart"/>
      <w:r w:rsidR="3BA85E94">
        <w:rPr/>
        <w:t>Taweel</w:t>
      </w:r>
      <w:proofErr w:type="spellEnd"/>
      <w:r w:rsidR="3BA85E94">
        <w:rPr/>
        <w:t xml:space="preserve"> </w:t>
      </w:r>
      <w:r w:rsidR="3BA85E94">
        <w:rPr/>
        <w:t xml:space="preserve">I </w:t>
      </w:r>
      <w:r w:rsidR="3BA85E94">
        <w:rPr/>
        <w:t xml:space="preserve">et al. </w:t>
      </w:r>
      <w:r w:rsidR="3BA85E94">
        <w:rPr/>
        <w:t xml:space="preserve">Significance of bacteriuria in patients with end-stage renal disease on hemodialysis </w:t>
      </w:r>
      <w:r w:rsidR="3BA85E94">
        <w:rPr/>
        <w:t xml:space="preserve">Avicenna J Med. 2018 Apr-Jun; 8(2): 51–54. </w:t>
      </w:r>
      <w:proofErr w:type="spellStart"/>
      <w:r w:rsidR="3BA85E94">
        <w:rPr/>
        <w:t>doi</w:t>
      </w:r>
      <w:proofErr w:type="spellEnd"/>
      <w:r w:rsidR="3BA85E94">
        <w:rPr/>
        <w:t>: 10.4103/ajm.AJM_199_17</w:t>
      </w:r>
    </w:p>
    <w:p w:rsidR="3BA85E94" w:rsidP="676D770B" w:rsidRDefault="3BA85E94" w14:paraId="33D31F42" w14:textId="5A1E5909">
      <w:pPr>
        <w:pStyle w:val="ListParagraph"/>
        <w:numPr>
          <w:ilvl w:val="0"/>
          <w:numId w:val="1"/>
        </w:numPr>
        <w:rPr>
          <w:sz w:val="22"/>
          <w:szCs w:val="22"/>
        </w:rPr>
      </w:pPr>
      <w:r w:rsidR="676D770B">
        <w:rPr/>
        <w:t xml:space="preserve">Gilbert DN. Urinary tract infections in </w:t>
      </w:r>
      <w:r w:rsidR="676D770B">
        <w:rPr/>
        <w:t>patients</w:t>
      </w:r>
      <w:r w:rsidR="676D770B">
        <w:rPr/>
        <w:t xml:space="preserve"> with chronic renal insufficiency. CJASN 2006;1(2):327.</w:t>
      </w:r>
    </w:p>
    <w:p w:rsidR="676D770B" w:rsidP="676D770B" w:rsidRDefault="676D770B" w14:paraId="156605C0" w14:textId="50546E0A">
      <w:pPr>
        <w:pStyle w:val="ListParagraph"/>
        <w:numPr>
          <w:ilvl w:val="0"/>
          <w:numId w:val="1"/>
        </w:numPr>
        <w:rPr>
          <w:sz w:val="22"/>
          <w:szCs w:val="22"/>
        </w:rPr>
      </w:pPr>
      <w:r w:rsidR="676D770B">
        <w:rPr/>
        <w:t>Nicolle LE, Gupta K, Bradley SF, Colgan R, DeMuri GP, Drekonja D, Eckert LO, Geerlings SE, Köves B, Hooton TM, Juthani-Mehta M. Clinical practice guideline for the management of asymptomatic bacteriuria: 2019 update by the Infectious Diseases Society of America. Clinical Infectious Diseases. 2019 Mar 21;68(10):e83-110.</w:t>
      </w:r>
    </w:p>
    <w:p w:rsidR="3BA85E94" w:rsidP="3BA85E94" w:rsidRDefault="3BA85E94" w14:paraId="4E9FCDB3" w14:textId="2A95BC05">
      <w:pPr>
        <w:pStyle w:val="paragraph"/>
        <w:spacing w:before="0" w:beforeAutospacing="off" w:after="0" w:afterAutospacing="off"/>
        <w:rPr>
          <w:rStyle w:val="normaltextrun"/>
          <w:rFonts w:ascii="Calibri" w:hAnsi="Calibri" w:cs="Segoe UI"/>
          <w:color w:val="000000" w:themeColor="text1" w:themeTint="FF" w:themeShade="FF"/>
        </w:rPr>
      </w:pPr>
    </w:p>
    <w:p w:rsidR="003F6EE3" w:rsidP="003F6EE3" w:rsidRDefault="003F6EE3" w14:paraId="4A50AFB5"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14717DE9" w14:textId="77777777">
      <w:pPr>
        <w:pStyle w:val="paragraph"/>
        <w:spacing w:before="0" w:beforeAutospacing="0" w:after="0" w:afterAutospacing="0"/>
        <w:textAlignment w:val="baseline"/>
        <w:rPr>
          <w:rStyle w:val="normaltextrun"/>
          <w:rFonts w:ascii="Calibri" w:hAnsi="Calibri" w:cs="Segoe UI"/>
          <w:color w:val="000000"/>
        </w:rPr>
      </w:pPr>
    </w:p>
    <w:p w:rsidR="003F6EE3" w:rsidP="003F6EE3" w:rsidRDefault="003F6EE3" w14:paraId="60F80E3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rPr>
        <w:t>On behalf of the UW TASP Specialist Team:  </w:t>
      </w:r>
      <w:r>
        <w:rPr>
          <w:rStyle w:val="normaltextrun"/>
          <w:rFonts w:ascii="Calibri" w:hAnsi="Calibri" w:cs="Segoe UI"/>
        </w:rPr>
        <w:t> </w:t>
      </w:r>
      <w:r>
        <w:rPr>
          <w:rStyle w:val="eop"/>
          <w:rFonts w:ascii="Calibri" w:hAnsi="Calibri" w:cs="Segoe UI"/>
        </w:rPr>
        <w:t> </w:t>
      </w:r>
    </w:p>
    <w:p w:rsidR="003F6EE3" w:rsidP="003F6EE3" w:rsidRDefault="003F6EE3" w14:paraId="274715A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rsidR="003F6EE3" w:rsidP="003F6EE3" w:rsidRDefault="003F6EE3" w14:paraId="6D1652D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John Lynch, MD MPH</w:t>
      </w:r>
      <w:r>
        <w:rPr>
          <w:rStyle w:val="normaltextrun"/>
          <w:rFonts w:ascii="Calibri" w:hAnsi="Calibri" w:cs="Segoe UI"/>
        </w:rPr>
        <w:t> </w:t>
      </w:r>
      <w:r>
        <w:rPr>
          <w:rStyle w:val="eop"/>
          <w:rFonts w:ascii="Calibri" w:hAnsi="Calibri" w:cs="Segoe UI"/>
        </w:rPr>
        <w:t> </w:t>
      </w:r>
    </w:p>
    <w:p w:rsidR="003F6EE3" w:rsidP="003F6EE3" w:rsidRDefault="003F6EE3" w14:paraId="0C745A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Chloe Bryson-Cahn, MD</w:t>
      </w:r>
      <w:r>
        <w:rPr>
          <w:rStyle w:val="normaltextrun"/>
          <w:rFonts w:ascii="Calibri" w:hAnsi="Calibri" w:cs="Segoe UI"/>
        </w:rPr>
        <w:t> </w:t>
      </w:r>
      <w:r>
        <w:rPr>
          <w:rStyle w:val="eop"/>
          <w:rFonts w:ascii="Calibri" w:hAnsi="Calibri" w:cs="Segoe UI"/>
        </w:rPr>
        <w:t> </w:t>
      </w:r>
    </w:p>
    <w:p w:rsidR="003F6EE3" w:rsidP="003F6EE3" w:rsidRDefault="003F6EE3" w14:paraId="66BF842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Jeannie Chan, PharmD</w:t>
      </w:r>
      <w:r>
        <w:rPr>
          <w:rStyle w:val="normaltextrun"/>
          <w:rFonts w:ascii="Calibri" w:hAnsi="Calibri" w:cs="Segoe UI"/>
        </w:rPr>
        <w:t> </w:t>
      </w:r>
      <w:r>
        <w:rPr>
          <w:rStyle w:val="eop"/>
          <w:rFonts w:ascii="Calibri" w:hAnsi="Calibri" w:cs="Segoe UI"/>
        </w:rPr>
        <w:t> </w:t>
      </w:r>
    </w:p>
    <w:p w:rsidR="003F6EE3" w:rsidP="003F6EE3" w:rsidRDefault="003F6EE3" w14:paraId="5C3D04A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Zahra </w:t>
      </w:r>
      <w:r>
        <w:rPr>
          <w:rStyle w:val="spellingerror"/>
          <w:rFonts w:ascii="Calibri" w:hAnsi="Calibri" w:cs="Segoe UI"/>
          <w:i/>
          <w:iCs/>
          <w:color w:val="000000"/>
        </w:rPr>
        <w:t>Kassamali</w:t>
      </w:r>
      <w:r>
        <w:rPr>
          <w:rStyle w:val="normaltextrun"/>
          <w:rFonts w:ascii="Calibri" w:hAnsi="Calibri" w:cs="Segoe UI"/>
          <w:i/>
          <w:iCs/>
          <w:color w:val="000000"/>
        </w:rPr>
        <w:t> Escobar, PharmD</w:t>
      </w:r>
      <w:r>
        <w:rPr>
          <w:rStyle w:val="normaltextrun"/>
          <w:rFonts w:ascii="Calibri" w:hAnsi="Calibri" w:cs="Segoe UI"/>
        </w:rPr>
        <w:t> </w:t>
      </w:r>
      <w:r>
        <w:rPr>
          <w:rStyle w:val="eop"/>
          <w:rFonts w:ascii="Calibri" w:hAnsi="Calibri" w:cs="Segoe UI"/>
        </w:rPr>
        <w:t> </w:t>
      </w:r>
    </w:p>
    <w:p w:rsidR="003F6EE3" w:rsidP="003F6EE3" w:rsidRDefault="003F6EE3" w14:paraId="2BE9A2D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Rupali Jain, PharmD</w:t>
      </w:r>
      <w:r>
        <w:rPr>
          <w:rStyle w:val="normaltextrun"/>
          <w:rFonts w:ascii="Calibri" w:hAnsi="Calibri" w:cs="Segoe UI"/>
        </w:rPr>
        <w:t> </w:t>
      </w:r>
      <w:r>
        <w:rPr>
          <w:rStyle w:val="eop"/>
          <w:rFonts w:ascii="Calibri" w:hAnsi="Calibri" w:cs="Segoe UI"/>
        </w:rPr>
        <w:t> </w:t>
      </w:r>
    </w:p>
    <w:p w:rsidR="003F6EE3" w:rsidP="003F6EE3" w:rsidRDefault="003F6EE3" w14:paraId="3D18CFD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color w:val="000000"/>
        </w:rPr>
        <w:t>Paul Pottinger, MD FIDSA</w:t>
      </w:r>
      <w:r>
        <w:rPr>
          <w:rStyle w:val="normaltextrun"/>
          <w:rFonts w:ascii="Calibri" w:hAnsi="Calibri" w:cs="Segoe UI"/>
        </w:rPr>
        <w:t> </w:t>
      </w:r>
      <w:r>
        <w:rPr>
          <w:rStyle w:val="eop"/>
          <w:rFonts w:ascii="Calibri" w:hAnsi="Calibri" w:cs="Segoe UI"/>
        </w:rPr>
        <w:t> </w:t>
      </w:r>
    </w:p>
    <w:p w:rsidR="003F6EE3" w:rsidP="003F6EE3" w:rsidRDefault="003F6EE3" w14:paraId="7BEA851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rPr>
        <w:t> </w:t>
      </w:r>
      <w:r>
        <w:rPr>
          <w:rStyle w:val="eop"/>
          <w:rFonts w:ascii="Calibri" w:hAnsi="Calibri" w:cs="Segoe UI"/>
        </w:rPr>
        <w:t> </w:t>
      </w:r>
    </w:p>
    <w:p w:rsidR="003F6EE3" w:rsidP="003F6EE3" w:rsidRDefault="003F6EE3" w14:paraId="6F005A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color w:val="000000"/>
          <w:sz w:val="20"/>
          <w:szCs w:val="20"/>
        </w:rPr>
        <w:t>PLEASE NOTE that UW TASP case consultations do </w:t>
      </w:r>
      <w:r>
        <w:rPr>
          <w:rStyle w:val="normaltextrun"/>
          <w:rFonts w:ascii="Calibri" w:hAnsi="Calibri" w:cs="Segoe UI"/>
          <w:color w:val="000000"/>
          <w:sz w:val="20"/>
          <w:szCs w:val="20"/>
          <w:u w:val="single"/>
        </w:rPr>
        <w:t>not</w:t>
      </w:r>
      <w:r>
        <w:rPr>
          <w:rStyle w:val="normaltextrun"/>
          <w:rFonts w:ascii="Calibri" w:hAnsi="Calibri" w:cs="Segoe UI"/>
          <w:color w:val="000000"/>
          <w:sz w:val="20"/>
          <w:szCs w:val="20"/>
        </w:rPr>
        <w:t> create or otherwise establish a provider-patient relationship between any UW Medicine Health Care Professional and any patient whose case is being presented in a UW TASP setting.  A provider-patient relationship between a UW Medicine Health Care Professional and a patient whose case was presented at UW TASP may later be established if the patient is referred and seen in the context of a regular appointment with the UW Medicine Health Care Professional. </w:t>
      </w:r>
      <w:r>
        <w:rPr>
          <w:rStyle w:val="eop"/>
          <w:rFonts w:ascii="Calibri" w:hAnsi="Calibri" w:cs="Segoe UI"/>
          <w:sz w:val="20"/>
          <w:szCs w:val="20"/>
        </w:rPr>
        <w:t> </w:t>
      </w:r>
    </w:p>
    <w:p w:rsidR="00C17F55" w:rsidRDefault="00C17F55" w14:paraId="51DA9038" w14:textId="77777777"/>
    <w:sectPr w:rsidR="00C17F55" w:rsidSect="000D252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EE3"/>
    <w:rsid w:val="000D2523"/>
    <w:rsid w:val="003F6EE3"/>
    <w:rsid w:val="008A19A0"/>
    <w:rsid w:val="009C32B7"/>
    <w:rsid w:val="00C17F55"/>
    <w:rsid w:val="3BA85E94"/>
    <w:rsid w:val="676D770B"/>
    <w:rsid w:val="7776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F870"/>
  <w14:defaultImageDpi w14:val="32767"/>
  <w15:chartTrackingRefBased/>
  <w15:docId w15:val="{65BEFA10-F127-8E4F-9480-963B5C3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F6EE3"/>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F6EE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F6EE3"/>
  </w:style>
  <w:style w:type="character" w:styleId="eop" w:customStyle="1">
    <w:name w:val="eop"/>
    <w:basedOn w:val="DefaultParagraphFont"/>
    <w:rsid w:val="003F6EE3"/>
  </w:style>
  <w:style w:type="character" w:styleId="spellingerror" w:customStyle="1">
    <w:name w:val="spellingerror"/>
    <w:basedOn w:val="DefaultParagraphFont"/>
    <w:rsid w:val="003F6EE3"/>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93827">
      <w:bodyDiv w:val="1"/>
      <w:marLeft w:val="0"/>
      <w:marRight w:val="0"/>
      <w:marTop w:val="0"/>
      <w:marBottom w:val="0"/>
      <w:divBdr>
        <w:top w:val="none" w:sz="0" w:space="0" w:color="auto"/>
        <w:left w:val="none" w:sz="0" w:space="0" w:color="auto"/>
        <w:bottom w:val="none" w:sz="0" w:space="0" w:color="auto"/>
        <w:right w:val="none" w:sz="0" w:space="0" w:color="auto"/>
      </w:divBdr>
      <w:divsChild>
        <w:div w:id="1914269075">
          <w:marLeft w:val="0"/>
          <w:marRight w:val="0"/>
          <w:marTop w:val="0"/>
          <w:marBottom w:val="0"/>
          <w:divBdr>
            <w:top w:val="none" w:sz="0" w:space="0" w:color="auto"/>
            <w:left w:val="none" w:sz="0" w:space="0" w:color="auto"/>
            <w:bottom w:val="none" w:sz="0" w:space="0" w:color="auto"/>
            <w:right w:val="none" w:sz="0" w:space="0" w:color="auto"/>
          </w:divBdr>
        </w:div>
        <w:div w:id="1235817874">
          <w:marLeft w:val="0"/>
          <w:marRight w:val="0"/>
          <w:marTop w:val="0"/>
          <w:marBottom w:val="0"/>
          <w:divBdr>
            <w:top w:val="none" w:sz="0" w:space="0" w:color="auto"/>
            <w:left w:val="none" w:sz="0" w:space="0" w:color="auto"/>
            <w:bottom w:val="none" w:sz="0" w:space="0" w:color="auto"/>
            <w:right w:val="none" w:sz="0" w:space="0" w:color="auto"/>
          </w:divBdr>
        </w:div>
        <w:div w:id="573516258">
          <w:marLeft w:val="0"/>
          <w:marRight w:val="0"/>
          <w:marTop w:val="0"/>
          <w:marBottom w:val="0"/>
          <w:divBdr>
            <w:top w:val="none" w:sz="0" w:space="0" w:color="auto"/>
            <w:left w:val="none" w:sz="0" w:space="0" w:color="auto"/>
            <w:bottom w:val="none" w:sz="0" w:space="0" w:color="auto"/>
            <w:right w:val="none" w:sz="0" w:space="0" w:color="auto"/>
          </w:divBdr>
        </w:div>
        <w:div w:id="1361588007">
          <w:marLeft w:val="0"/>
          <w:marRight w:val="0"/>
          <w:marTop w:val="0"/>
          <w:marBottom w:val="0"/>
          <w:divBdr>
            <w:top w:val="none" w:sz="0" w:space="0" w:color="auto"/>
            <w:left w:val="none" w:sz="0" w:space="0" w:color="auto"/>
            <w:bottom w:val="none" w:sz="0" w:space="0" w:color="auto"/>
            <w:right w:val="none" w:sz="0" w:space="0" w:color="auto"/>
          </w:divBdr>
        </w:div>
        <w:div w:id="1961496940">
          <w:marLeft w:val="0"/>
          <w:marRight w:val="0"/>
          <w:marTop w:val="0"/>
          <w:marBottom w:val="0"/>
          <w:divBdr>
            <w:top w:val="none" w:sz="0" w:space="0" w:color="auto"/>
            <w:left w:val="none" w:sz="0" w:space="0" w:color="auto"/>
            <w:bottom w:val="none" w:sz="0" w:space="0" w:color="auto"/>
            <w:right w:val="none" w:sz="0" w:space="0" w:color="auto"/>
          </w:divBdr>
        </w:div>
        <w:div w:id="1973099948">
          <w:marLeft w:val="0"/>
          <w:marRight w:val="0"/>
          <w:marTop w:val="0"/>
          <w:marBottom w:val="0"/>
          <w:divBdr>
            <w:top w:val="none" w:sz="0" w:space="0" w:color="auto"/>
            <w:left w:val="none" w:sz="0" w:space="0" w:color="auto"/>
            <w:bottom w:val="none" w:sz="0" w:space="0" w:color="auto"/>
            <w:right w:val="none" w:sz="0" w:space="0" w:color="auto"/>
          </w:divBdr>
        </w:div>
        <w:div w:id="1357734830">
          <w:marLeft w:val="0"/>
          <w:marRight w:val="0"/>
          <w:marTop w:val="0"/>
          <w:marBottom w:val="0"/>
          <w:divBdr>
            <w:top w:val="none" w:sz="0" w:space="0" w:color="auto"/>
            <w:left w:val="none" w:sz="0" w:space="0" w:color="auto"/>
            <w:bottom w:val="none" w:sz="0" w:space="0" w:color="auto"/>
            <w:right w:val="none" w:sz="0" w:space="0" w:color="auto"/>
          </w:divBdr>
        </w:div>
        <w:div w:id="866257835">
          <w:marLeft w:val="0"/>
          <w:marRight w:val="0"/>
          <w:marTop w:val="0"/>
          <w:marBottom w:val="0"/>
          <w:divBdr>
            <w:top w:val="none" w:sz="0" w:space="0" w:color="auto"/>
            <w:left w:val="none" w:sz="0" w:space="0" w:color="auto"/>
            <w:bottom w:val="none" w:sz="0" w:space="0" w:color="auto"/>
            <w:right w:val="none" w:sz="0" w:space="0" w:color="auto"/>
          </w:divBdr>
        </w:div>
        <w:div w:id="56534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 Type="http://schemas.openxmlformats.org/officeDocument/2006/relationships/customXml" Target="../customXml/item3.xml" Id="rId9" /><Relationship Type="http://schemas.openxmlformats.org/officeDocument/2006/relationships/numbering" Target="/word/numbering.xml" Id="R6cc0e3a51d1f46d1" /><Relationship Type="http://schemas.openxmlformats.org/officeDocument/2006/relationships/image" Target="/media/image2.png" Id="R7aa1969c83134f13" /><Relationship Type="http://schemas.openxmlformats.org/officeDocument/2006/relationships/hyperlink" Target="https://www.ncbi.nlm.nih.gov/pmc/articles/PMC5898183/" TargetMode="External" Id="Rbb524aaab59e4e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063322ECD2A4C836D2589E489F290" ma:contentTypeVersion="8" ma:contentTypeDescription="Create a new document." ma:contentTypeScope="" ma:versionID="fa1d8019fd395bfcff4171774d70db59">
  <xsd:schema xmlns:xsd="http://www.w3.org/2001/XMLSchema" xmlns:xs="http://www.w3.org/2001/XMLSchema" xmlns:p="http://schemas.microsoft.com/office/2006/metadata/properties" xmlns:ns2="eacaa5ce-4b13-4929-997a-fd8c1bfe780a" xmlns:ns3="69aa3883-b251-412e-bf1d-acb3217d06af" targetNamespace="http://schemas.microsoft.com/office/2006/metadata/properties" ma:root="true" ma:fieldsID="5510db0a5eaecb69b007a203e2ac5733" ns2:_="" ns3:_="">
    <xsd:import namespace="eacaa5ce-4b13-4929-997a-fd8c1bfe780a"/>
    <xsd:import namespace="69aa3883-b251-412e-bf1d-acb3217d06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aa5ce-4b13-4929-997a-fd8c1bfe78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a3883-b251-412e-bf1d-acb3217d06a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A9EEE-CBA2-4B39-B123-70A5F7BEA8AA}"/>
</file>

<file path=customXml/itemProps2.xml><?xml version="1.0" encoding="utf-8"?>
<ds:datastoreItem xmlns:ds="http://schemas.openxmlformats.org/officeDocument/2006/customXml" ds:itemID="{14ACA534-110A-4094-88FE-5CCB55CE7C30}"/>
</file>

<file path=customXml/itemProps3.xml><?xml version="1.0" encoding="utf-8"?>
<ds:datastoreItem xmlns:ds="http://schemas.openxmlformats.org/officeDocument/2006/customXml" ds:itemID="{A53B0B5A-6D87-4A6F-9EFD-E254A47F5A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Natalia Martinez-Paz</dc:creator>
  <keywords/>
  <dc:description/>
  <lastModifiedBy>Chloe Bryson-Cahn</lastModifiedBy>
  <revision>5</revision>
  <dcterms:created xsi:type="dcterms:W3CDTF">2019-11-04T17:52:00.0000000Z</dcterms:created>
  <dcterms:modified xsi:type="dcterms:W3CDTF">2019-11-06T20:03:46.1344508Z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0x010100508063322ECD2A4C836D2589E489F290</vt:lpwstr>
  </property>
</Properties>
</file>