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0D00F" w14:textId="78B16FEB" w:rsidR="00CB3730" w:rsidRDefault="1DBE5D9E" w:rsidP="1DBE5D9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DBE5D9E">
        <w:rPr>
          <w:rFonts w:ascii="Calibri" w:eastAsia="Calibri" w:hAnsi="Calibri" w:cs="Calibri"/>
          <w:b/>
          <w:bCs/>
          <w:color w:val="000000" w:themeColor="text1"/>
        </w:rPr>
        <w:t xml:space="preserve">UW Medicine Guidance for Treating Patients with Monkeypox </w:t>
      </w:r>
    </w:p>
    <w:p w14:paraId="25D98FD6" w14:textId="68CC1F5C" w:rsidR="00CB3730" w:rsidRDefault="1DBE5D9E" w:rsidP="1DBE5D9E">
      <w:pPr>
        <w:spacing w:after="0" w:line="240" w:lineRule="auto"/>
        <w:rPr>
          <w:rFonts w:ascii="Calibri" w:eastAsia="Calibri" w:hAnsi="Calibri" w:cs="Calibri"/>
          <w:strike/>
          <w:color w:val="D13438"/>
        </w:rPr>
      </w:pPr>
      <w:r w:rsidRPr="1DBE5D9E">
        <w:rPr>
          <w:rFonts w:ascii="Calibri" w:eastAsia="Calibri" w:hAnsi="Calibri" w:cs="Calibri"/>
          <w:color w:val="323130"/>
        </w:rPr>
        <w:t>Version 1.</w:t>
      </w:r>
      <w:r w:rsidR="00280A2F">
        <w:rPr>
          <w:rFonts w:ascii="Calibri" w:eastAsia="Calibri" w:hAnsi="Calibri" w:cs="Calibri"/>
          <w:color w:val="323130"/>
        </w:rPr>
        <w:t>4</w:t>
      </w:r>
    </w:p>
    <w:p w14:paraId="5BABD718" w14:textId="47CB71D1" w:rsidR="00CB3730" w:rsidRDefault="00280A2F" w:rsidP="021D4D4C">
      <w:pPr>
        <w:spacing w:after="0" w:line="240" w:lineRule="auto"/>
        <w:rPr>
          <w:rFonts w:ascii="Calibri" w:eastAsia="Calibri" w:hAnsi="Calibri" w:cs="Calibri"/>
          <w:color w:val="323130"/>
        </w:rPr>
      </w:pPr>
      <w:r>
        <w:rPr>
          <w:rFonts w:ascii="Calibri" w:eastAsia="Calibri" w:hAnsi="Calibri" w:cs="Calibri"/>
          <w:color w:val="323130"/>
        </w:rPr>
        <w:t>Last update 9/20</w:t>
      </w:r>
      <w:r w:rsidR="1DBE5D9E" w:rsidRPr="021D4D4C">
        <w:rPr>
          <w:rFonts w:ascii="Calibri" w:eastAsia="Calibri" w:hAnsi="Calibri" w:cs="Calibri"/>
          <w:color w:val="323130"/>
        </w:rPr>
        <w:t>/2022</w:t>
      </w:r>
    </w:p>
    <w:p w14:paraId="0EE7020A" w14:textId="05547B5B" w:rsidR="00CB3730" w:rsidRDefault="1DBE5D9E" w:rsidP="1DBE5D9E">
      <w:pPr>
        <w:spacing w:after="0" w:line="240" w:lineRule="auto"/>
        <w:rPr>
          <w:rFonts w:ascii="Calibri" w:eastAsia="Calibri" w:hAnsi="Calibri" w:cs="Calibri"/>
          <w:color w:val="D13438"/>
        </w:rPr>
      </w:pPr>
      <w:r w:rsidRPr="1DBE5D9E">
        <w:rPr>
          <w:rFonts w:ascii="Calibri" w:eastAsia="Calibri" w:hAnsi="Calibri" w:cs="Calibri"/>
          <w:color w:val="323130"/>
        </w:rPr>
        <w:t>This document will be updated frequently as process changes arise.</w:t>
      </w:r>
      <w:r w:rsidRPr="1DBE5D9E">
        <w:rPr>
          <w:rFonts w:ascii="Calibri" w:eastAsia="Calibri" w:hAnsi="Calibri" w:cs="Calibri"/>
          <w:b/>
          <w:bCs/>
          <w:color w:val="323130"/>
        </w:rPr>
        <w:t xml:space="preserve"> Please do not print.</w:t>
      </w:r>
    </w:p>
    <w:p w14:paraId="2C078E63" w14:textId="505F82A5" w:rsidR="00CB3730" w:rsidRDefault="00CB3730" w:rsidP="1DBE5D9E">
      <w:pPr>
        <w:spacing w:after="0"/>
      </w:pPr>
    </w:p>
    <w:p w14:paraId="5820D05B" w14:textId="5ECD5120" w:rsidR="1DBE5D9E" w:rsidRDefault="1DBE5D9E" w:rsidP="1DBE5D9E">
      <w:pPr>
        <w:spacing w:after="0" w:line="240" w:lineRule="auto"/>
        <w:rPr>
          <w:rFonts w:ascii="Calibri" w:eastAsia="Calibri" w:hAnsi="Calibri" w:cs="Calibri"/>
          <w:color w:val="323130"/>
        </w:rPr>
      </w:pPr>
      <w:r w:rsidRPr="1DBE5D9E">
        <w:rPr>
          <w:rFonts w:ascii="Calibri" w:eastAsia="Calibri" w:hAnsi="Calibri" w:cs="Calibri"/>
          <w:b/>
          <w:bCs/>
          <w:color w:val="323130"/>
        </w:rPr>
        <w:t>Who should be treated?</w:t>
      </w:r>
      <w:r w:rsidRPr="1DBE5D9E">
        <w:rPr>
          <w:rFonts w:ascii="Calibri" w:eastAsia="Calibri" w:hAnsi="Calibri" w:cs="Calibri"/>
          <w:color w:val="323130"/>
        </w:rPr>
        <w:t> </w:t>
      </w:r>
    </w:p>
    <w:p w14:paraId="0CD06451" w14:textId="46319ED6" w:rsidR="1DBE5D9E" w:rsidRDefault="1DBE5D9E" w:rsidP="1DBE5D9E">
      <w:pPr>
        <w:spacing w:after="0"/>
      </w:pPr>
      <w:r>
        <w:t xml:space="preserve">See </w:t>
      </w:r>
      <w:hyperlink r:id="rId5">
        <w:r w:rsidRPr="1DBE5D9E">
          <w:rPr>
            <w:rStyle w:val="Hyperlink"/>
          </w:rPr>
          <w:t>CDC Guidance</w:t>
        </w:r>
      </w:hyperlink>
      <w:r>
        <w:t xml:space="preserve"> for details. Most patients qualify for treatment. Treat PCR confirmed or strongly suspected cases. </w:t>
      </w:r>
    </w:p>
    <w:p w14:paraId="6D8CC6BE" w14:textId="415ACB18" w:rsidR="1DBE5D9E" w:rsidRDefault="1DBE5D9E" w:rsidP="1DBE5D9E">
      <w:pPr>
        <w:spacing w:after="0"/>
      </w:pPr>
    </w:p>
    <w:p w14:paraId="3570F073" w14:textId="743DA6D2" w:rsidR="1DBE5D9E" w:rsidRDefault="1DBE5D9E" w:rsidP="1DBE5D9E">
      <w:pPr>
        <w:spacing w:after="0"/>
        <w:rPr>
          <w:b/>
          <w:bCs/>
        </w:rPr>
      </w:pPr>
      <w:r w:rsidRPr="1DBE5D9E">
        <w:rPr>
          <w:b/>
          <w:bCs/>
        </w:rPr>
        <w:t>Tecovirimat (TPOXX)</w:t>
      </w:r>
    </w:p>
    <w:p w14:paraId="4A982654" w14:textId="4C86EDDD" w:rsidR="1DBE5D9E" w:rsidRDefault="1DBE5D9E" w:rsidP="021D4D4C">
      <w:pPr>
        <w:spacing w:after="0"/>
      </w:pPr>
      <w:r>
        <w:t xml:space="preserve">This drug is available under the expanded access investigational new drug (EA-IND). </w:t>
      </w:r>
      <w:r w:rsidRPr="528269F1">
        <w:rPr>
          <w:b/>
          <w:bCs/>
        </w:rPr>
        <w:t>Currently, only providers who have been listed on the 1572 form are able to prescribe it.</w:t>
      </w:r>
      <w:r>
        <w:t xml:space="preserve"> </w:t>
      </w:r>
    </w:p>
    <w:p w14:paraId="03A22418" w14:textId="56254176" w:rsidR="1DBE5D9E" w:rsidRDefault="1DBE5D9E" w:rsidP="1DBE5D9E">
      <w:pPr>
        <w:spacing w:after="0"/>
      </w:pPr>
      <w:r w:rsidRPr="1DBE5D9E">
        <w:rPr>
          <w:b/>
          <w:bCs/>
        </w:rPr>
        <w:t xml:space="preserve">Ineligible patients </w:t>
      </w:r>
      <w:r>
        <w:t xml:space="preserve">– </w:t>
      </w:r>
      <w:hyperlink r:id="rId6">
        <w:r w:rsidRPr="1DBE5D9E">
          <w:rPr>
            <w:rStyle w:val="Hyperlink"/>
          </w:rPr>
          <w:t>See CDC guidance</w:t>
        </w:r>
      </w:hyperlink>
    </w:p>
    <w:p w14:paraId="05C01D94" w14:textId="7B76A3B9" w:rsidR="1DBE5D9E" w:rsidRDefault="1DBE5D9E" w:rsidP="1DBE5D9E">
      <w:pPr>
        <w:spacing w:after="0"/>
      </w:pPr>
    </w:p>
    <w:p w14:paraId="556942F1" w14:textId="1183E598" w:rsidR="1DBE5D9E" w:rsidRDefault="1DBE5D9E" w:rsidP="1DBE5D9E">
      <w:pPr>
        <w:spacing w:after="0"/>
        <w:rPr>
          <w:b/>
          <w:bCs/>
        </w:rPr>
      </w:pPr>
      <w:r w:rsidRPr="1DBE5D9E">
        <w:rPr>
          <w:b/>
          <w:bCs/>
        </w:rPr>
        <w:t xml:space="preserve">Steps to Prescribe Tecovirimat (TPOXX) </w:t>
      </w:r>
    </w:p>
    <w:p w14:paraId="20B6716C" w14:textId="367CF936" w:rsidR="1DBE5D9E" w:rsidRDefault="1DBE5D9E" w:rsidP="1DBE5D9E">
      <w:pPr>
        <w:spacing w:after="0"/>
      </w:pPr>
      <w:r>
        <w:t xml:space="preserve">For infection prevention and patient convenience purposes, any/all of these steps can be performed via telemedicine. Recommend that steps 1 and 2 be performed before an in-person visit when possible. </w:t>
      </w:r>
    </w:p>
    <w:p w14:paraId="4DCAED61" w14:textId="224DCF91" w:rsidR="1DBE5D9E" w:rsidRDefault="1DBE5D9E" w:rsidP="1DBE5D9E">
      <w:pPr>
        <w:spacing w:after="0"/>
      </w:pPr>
    </w:p>
    <w:p w14:paraId="0C1EEE31" w14:textId="37CE575F" w:rsidR="1DBE5D9E" w:rsidRDefault="1DBE5D9E" w:rsidP="1DBE5D9E">
      <w:pPr>
        <w:pStyle w:val="ListParagraph"/>
        <w:numPr>
          <w:ilvl w:val="0"/>
          <w:numId w:val="2"/>
        </w:numPr>
        <w:spacing w:after="0"/>
        <w:rPr>
          <w:rFonts w:eastAsiaTheme="minorEastAsia"/>
          <w:b/>
          <w:bCs/>
        </w:rPr>
      </w:pPr>
      <w:r w:rsidRPr="1DBE5D9E">
        <w:rPr>
          <w:b/>
          <w:bCs/>
        </w:rPr>
        <w:t xml:space="preserve">Obtain Informed Consent </w:t>
      </w:r>
    </w:p>
    <w:p w14:paraId="7D9A9162" w14:textId="5E7FFF09" w:rsidR="1DBE5D9E" w:rsidRDefault="00280A2F" w:rsidP="1DBE5D9E">
      <w:pPr>
        <w:pStyle w:val="ListParagraph"/>
        <w:numPr>
          <w:ilvl w:val="0"/>
          <w:numId w:val="10"/>
        </w:numPr>
        <w:spacing w:after="0"/>
        <w:rPr>
          <w:rFonts w:eastAsiaTheme="minorEastAsia"/>
        </w:rPr>
      </w:pPr>
      <w:hyperlink r:id="rId7">
        <w:r w:rsidR="1DBE5D9E" w:rsidRPr="1DBE5D9E">
          <w:rPr>
            <w:rStyle w:val="Hyperlink"/>
          </w:rPr>
          <w:t>CDC Informed Consent form</w:t>
        </w:r>
      </w:hyperlink>
    </w:p>
    <w:p w14:paraId="2FA4305B" w14:textId="27990BE5" w:rsidR="1DBE5D9E" w:rsidRDefault="1DBE5D9E" w:rsidP="1DBE5D9E">
      <w:pPr>
        <w:pStyle w:val="ListParagraph"/>
        <w:numPr>
          <w:ilvl w:val="1"/>
          <w:numId w:val="10"/>
        </w:numPr>
        <w:spacing w:after="0"/>
      </w:pPr>
      <w:r>
        <w:t xml:space="preserve">Review the above form with the patient. Options for obtaining a signature: </w:t>
      </w:r>
    </w:p>
    <w:p w14:paraId="47693982" w14:textId="362A5840" w:rsidR="1DBE5D9E" w:rsidRDefault="1DBE5D9E" w:rsidP="1DBE5D9E">
      <w:pPr>
        <w:pStyle w:val="ListParagraph"/>
        <w:numPr>
          <w:ilvl w:val="2"/>
          <w:numId w:val="10"/>
        </w:numPr>
        <w:spacing w:after="0"/>
      </w:pPr>
      <w:r>
        <w:t>Share via MyChart or email and have the patient return it electronically</w:t>
      </w:r>
    </w:p>
    <w:p w14:paraId="06BE8FBF" w14:textId="2A63C559" w:rsidR="1DBE5D9E" w:rsidRPr="00E250A5" w:rsidRDefault="1DBE5D9E" w:rsidP="1DBE5D9E">
      <w:pPr>
        <w:pStyle w:val="ListParagraph"/>
        <w:numPr>
          <w:ilvl w:val="2"/>
          <w:numId w:val="10"/>
        </w:numPr>
        <w:spacing w:after="0"/>
      </w:pPr>
      <w:r w:rsidRPr="00E250A5">
        <w:t>Provide a hard copy, have the patient take a picture and return via email/MyChart</w:t>
      </w:r>
    </w:p>
    <w:p w14:paraId="548DCD38" w14:textId="6C034B9D" w:rsidR="1DBE5D9E" w:rsidRPr="00E250A5" w:rsidRDefault="1DBE5D9E" w:rsidP="021D4D4C">
      <w:pPr>
        <w:pStyle w:val="ListParagraph"/>
        <w:numPr>
          <w:ilvl w:val="2"/>
          <w:numId w:val="10"/>
        </w:numPr>
        <w:spacing w:after="0"/>
        <w:rPr>
          <w:rFonts w:eastAsiaTheme="minorEastAsia"/>
        </w:rPr>
      </w:pPr>
      <w:r w:rsidRPr="00E250A5">
        <w:t xml:space="preserve">Have the patient sign the hard copy: </w:t>
      </w:r>
    </w:p>
    <w:p w14:paraId="15EAFE1E" w14:textId="79A1C47E" w:rsidR="1DBE5D9E" w:rsidRPr="00280A2F" w:rsidRDefault="1DBE5D9E" w:rsidP="528269F1">
      <w:pPr>
        <w:pStyle w:val="ListParagraph"/>
        <w:numPr>
          <w:ilvl w:val="3"/>
          <w:numId w:val="10"/>
        </w:numPr>
        <w:spacing w:after="0"/>
        <w:rPr>
          <w:rFonts w:eastAsiaTheme="minorEastAsia"/>
        </w:rPr>
      </w:pPr>
      <w:r w:rsidRPr="003E2951">
        <w:t xml:space="preserve">Provider cleans desk, gels over gloves, and obtains the form (passed from outside door). Patient gels hands, dons gloves, signs consent on the clean desk. Provider </w:t>
      </w:r>
      <w:r w:rsidRPr="00280A2F">
        <w:t>passes the form out of the room, cleans or disposes of the pen.</w:t>
      </w:r>
    </w:p>
    <w:p w14:paraId="33EA76C3" w14:textId="77777777" w:rsidR="00280A2F" w:rsidRPr="00280A2F" w:rsidRDefault="00280A2F" w:rsidP="00280A2F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280A2F">
        <w:rPr>
          <w:rFonts w:eastAsia="Times New Roman" w:cs="Arial"/>
          <w:color w:val="000000"/>
        </w:rPr>
        <w:t>The form is now available in Spanish. If limited English proficiency, use a telephonic interpreter to assist with document review</w:t>
      </w:r>
    </w:p>
    <w:p w14:paraId="5E19D263" w14:textId="4611B53E" w:rsidR="1DBE5D9E" w:rsidRDefault="1DBE5D9E" w:rsidP="1DBE5D9E">
      <w:pPr>
        <w:spacing w:after="0"/>
        <w:rPr>
          <w:b/>
          <w:bCs/>
        </w:rPr>
      </w:pPr>
    </w:p>
    <w:p w14:paraId="46F418FF" w14:textId="13EFCE94" w:rsidR="1DBE5D9E" w:rsidRDefault="1DBE5D9E" w:rsidP="1DBE5D9E">
      <w:pPr>
        <w:pStyle w:val="ListParagraph"/>
        <w:numPr>
          <w:ilvl w:val="0"/>
          <w:numId w:val="2"/>
        </w:numPr>
        <w:spacing w:after="0"/>
        <w:rPr>
          <w:rFonts w:eastAsiaTheme="minorEastAsia"/>
          <w:b/>
          <w:bCs/>
        </w:rPr>
      </w:pPr>
      <w:r w:rsidRPr="1DBE5D9E">
        <w:rPr>
          <w:b/>
          <w:bCs/>
        </w:rPr>
        <w:t>Complete Patient History/Intake</w:t>
      </w:r>
    </w:p>
    <w:p w14:paraId="23674E80" w14:textId="05BA2553" w:rsidR="1DBE5D9E" w:rsidRDefault="00280A2F" w:rsidP="718D3350">
      <w:pPr>
        <w:pStyle w:val="ListParagraph"/>
        <w:numPr>
          <w:ilvl w:val="0"/>
          <w:numId w:val="7"/>
        </w:numPr>
        <w:spacing w:after="0"/>
        <w:rPr>
          <w:rFonts w:eastAsiaTheme="minorEastAsia"/>
        </w:rPr>
      </w:pPr>
      <w:hyperlink r:id="rId8">
        <w:r w:rsidR="1DBE5D9E" w:rsidRPr="718D3350">
          <w:rPr>
            <w:rStyle w:val="Hyperlink"/>
          </w:rPr>
          <w:t>CDC Intake form</w:t>
        </w:r>
      </w:hyperlink>
      <w:r w:rsidR="1DBE5D9E">
        <w:t xml:space="preserve"> - submit within 3 days via email or secure upload </w:t>
      </w:r>
      <w:r w:rsidR="718D3350">
        <w:t>along with your clinic note</w:t>
      </w:r>
    </w:p>
    <w:p w14:paraId="0825AA5D" w14:textId="26478FDA" w:rsidR="718D3350" w:rsidRDefault="718D3350" w:rsidP="718D3350">
      <w:pPr>
        <w:pStyle w:val="ListParagraph"/>
        <w:numPr>
          <w:ilvl w:val="0"/>
          <w:numId w:val="7"/>
        </w:numPr>
        <w:spacing w:after="0"/>
      </w:pPr>
      <w:r w:rsidRPr="718D3350">
        <w:rPr>
          <w:rFonts w:eastAsiaTheme="minorEastAsia"/>
        </w:rPr>
        <w:t xml:space="preserve">Document your </w:t>
      </w:r>
      <w:proofErr w:type="spellStart"/>
      <w:r w:rsidRPr="718D3350">
        <w:rPr>
          <w:rFonts w:eastAsiaTheme="minorEastAsia"/>
        </w:rPr>
        <w:t>telemed</w:t>
      </w:r>
      <w:proofErr w:type="spellEnd"/>
      <w:r w:rsidRPr="718D3350">
        <w:rPr>
          <w:rFonts w:eastAsiaTheme="minorEastAsia"/>
        </w:rPr>
        <w:t xml:space="preserve"> or in person visit in EPIC, include housing status</w:t>
      </w:r>
    </w:p>
    <w:p w14:paraId="3B3A6C28" w14:textId="620CA48A" w:rsidR="1DBE5D9E" w:rsidRDefault="1DBE5D9E" w:rsidP="1DBE5D9E">
      <w:pPr>
        <w:spacing w:after="0"/>
        <w:ind w:left="720"/>
      </w:pPr>
    </w:p>
    <w:p w14:paraId="7610DF15" w14:textId="5C8A9A42" w:rsidR="1DBE5D9E" w:rsidRDefault="1DBE5D9E" w:rsidP="1DBE5D9E">
      <w:pPr>
        <w:pStyle w:val="ListParagraph"/>
        <w:numPr>
          <w:ilvl w:val="0"/>
          <w:numId w:val="2"/>
        </w:numPr>
        <w:spacing w:after="0"/>
        <w:rPr>
          <w:rFonts w:eastAsiaTheme="minorEastAsia"/>
          <w:b/>
          <w:bCs/>
        </w:rPr>
      </w:pPr>
      <w:r w:rsidRPr="378FB3D7">
        <w:rPr>
          <w:b/>
          <w:bCs/>
        </w:rPr>
        <w:t xml:space="preserve">Labs and Photos – </w:t>
      </w:r>
      <w:hyperlink r:id="rId9">
        <w:r w:rsidRPr="378FB3D7">
          <w:rPr>
            <w:rStyle w:val="Hyperlink"/>
            <w:b/>
            <w:bCs/>
          </w:rPr>
          <w:t>OPTIONAL per CDC</w:t>
        </w:r>
      </w:hyperlink>
      <w:r w:rsidRPr="378FB3D7">
        <w:rPr>
          <w:b/>
          <w:bCs/>
        </w:rPr>
        <w:t xml:space="preserve"> </w:t>
      </w:r>
    </w:p>
    <w:p w14:paraId="5D2F122C" w14:textId="6D1B102D" w:rsidR="1DBE5D9E" w:rsidRDefault="1DBE5D9E" w:rsidP="1DBE5D9E">
      <w:pPr>
        <w:pStyle w:val="ListParagraph"/>
        <w:numPr>
          <w:ilvl w:val="0"/>
          <w:numId w:val="8"/>
        </w:numPr>
        <w:spacing w:after="0"/>
      </w:pPr>
      <w:r>
        <w:t>If labs are needed (i.e. no recent labs and concern for baseline abnormalities), then they should be drawn in clinic. Obtain: CBC with diff, CMP, Mg, Phos, uric acid, PT/PTT, UA, urine HCG for persons with a uterus</w:t>
      </w:r>
    </w:p>
    <w:p w14:paraId="20C49B68" w14:textId="56C73935" w:rsidR="1DBE5D9E" w:rsidRDefault="1DBE5D9E" w:rsidP="1DBE5D9E">
      <w:pPr>
        <w:pStyle w:val="ListParagraph"/>
        <w:numPr>
          <w:ilvl w:val="0"/>
          <w:numId w:val="8"/>
        </w:numPr>
        <w:spacing w:after="0"/>
      </w:pPr>
      <w:r>
        <w:t xml:space="preserve">Further information is available about submission for resistance testing or pharmacokinetic samples </w:t>
      </w:r>
      <w:hyperlink r:id="rId10">
        <w:r w:rsidRPr="1DBE5D9E">
          <w:rPr>
            <w:rStyle w:val="Hyperlink"/>
          </w:rPr>
          <w:t>here</w:t>
        </w:r>
      </w:hyperlink>
    </w:p>
    <w:p w14:paraId="06B6BD55" w14:textId="401F7AB9" w:rsidR="1DBE5D9E" w:rsidRDefault="1DBE5D9E" w:rsidP="1DBE5D9E">
      <w:pPr>
        <w:spacing w:after="0"/>
      </w:pPr>
    </w:p>
    <w:p w14:paraId="388601E7" w14:textId="0F07E937" w:rsidR="1DBE5D9E" w:rsidRPr="004E6497" w:rsidRDefault="1DBE5D9E" w:rsidP="004E6497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378FB3D7">
        <w:rPr>
          <w:b/>
          <w:bCs/>
        </w:rPr>
        <w:t xml:space="preserve">Writing the Prescription/Obtaining the Medication </w:t>
      </w:r>
    </w:p>
    <w:p w14:paraId="3D8AAC56" w14:textId="69B09C15" w:rsidR="004E6497" w:rsidRDefault="004E6497" w:rsidP="004E6497">
      <w:pPr>
        <w:pStyle w:val="ListParagraph"/>
        <w:spacing w:after="0"/>
      </w:pPr>
      <w:r w:rsidRPr="004E6497">
        <w:t>(</w:t>
      </w:r>
      <w:proofErr w:type="gramStart"/>
      <w:r w:rsidRPr="004E6497">
        <w:t>this</w:t>
      </w:r>
      <w:proofErr w:type="gramEnd"/>
      <w:r w:rsidRPr="004E6497">
        <w:t xml:space="preserve"> will be hospital specific)</w:t>
      </w:r>
    </w:p>
    <w:p w14:paraId="3760B67C" w14:textId="77777777" w:rsidR="00280A2F" w:rsidRPr="004E6497" w:rsidRDefault="00280A2F" w:rsidP="004E6497">
      <w:pPr>
        <w:pStyle w:val="ListParagraph"/>
        <w:spacing w:after="0"/>
        <w:rPr>
          <w:rFonts w:ascii="Calibri" w:eastAsia="Calibri" w:hAnsi="Calibri" w:cs="Calibri"/>
          <w:color w:val="000000" w:themeColor="text1"/>
        </w:rPr>
      </w:pPr>
    </w:p>
    <w:p w14:paraId="04FD621A" w14:textId="7B3659DB" w:rsidR="1DBE5D9E" w:rsidRDefault="1DBE5D9E" w:rsidP="718D3350">
      <w:pPr>
        <w:pStyle w:val="ListParagraph"/>
        <w:numPr>
          <w:ilvl w:val="0"/>
          <w:numId w:val="2"/>
        </w:numPr>
        <w:spacing w:after="0"/>
        <w:rPr>
          <w:rFonts w:eastAsiaTheme="minorEastAsia"/>
          <w:b/>
          <w:bCs/>
          <w:color w:val="000000" w:themeColor="text1"/>
        </w:rPr>
      </w:pPr>
      <w:r w:rsidRPr="718D3350">
        <w:rPr>
          <w:rFonts w:ascii="Calibri" w:eastAsia="Calibri" w:hAnsi="Calibri" w:cs="Calibri"/>
          <w:b/>
          <w:bCs/>
          <w:color w:val="000000" w:themeColor="text1"/>
        </w:rPr>
        <w:t>During and Post-Treatment Follow-up</w:t>
      </w:r>
      <w:r w:rsidR="00280A2F">
        <w:rPr>
          <w:rFonts w:ascii="Calibri" w:eastAsia="Calibri" w:hAnsi="Calibri" w:cs="Calibri"/>
          <w:b/>
          <w:bCs/>
          <w:color w:val="000000" w:themeColor="text1"/>
        </w:rPr>
        <w:t xml:space="preserve"> - </w:t>
      </w:r>
      <w:hyperlink r:id="rId11" w:history="1">
        <w:r w:rsidR="00280A2F" w:rsidRPr="00280A2F">
          <w:rPr>
            <w:rStyle w:val="Hyperlink"/>
            <w:rFonts w:ascii="Calibri" w:eastAsia="Calibri" w:hAnsi="Calibri" w:cs="Calibri"/>
            <w:b/>
            <w:bCs/>
          </w:rPr>
          <w:t>OPTIONAL per CDC</w:t>
        </w:r>
      </w:hyperlink>
    </w:p>
    <w:p w14:paraId="25C8662F" w14:textId="6B51867D" w:rsidR="718D3350" w:rsidRDefault="1DBE5D9E" w:rsidP="021D4D4C">
      <w:pPr>
        <w:pStyle w:val="ListParagraph"/>
        <w:numPr>
          <w:ilvl w:val="1"/>
          <w:numId w:val="2"/>
        </w:numPr>
        <w:spacing w:after="0"/>
        <w:ind w:left="1080"/>
        <w:rPr>
          <w:rFonts w:eastAsiaTheme="minorEastAsia"/>
          <w:color w:val="000000" w:themeColor="text1"/>
        </w:rPr>
      </w:pPr>
      <w:r w:rsidRPr="021D4D4C">
        <w:rPr>
          <w:rFonts w:ascii="Calibri" w:eastAsia="Calibri" w:hAnsi="Calibri" w:cs="Calibri"/>
          <w:color w:val="000000" w:themeColor="text1"/>
        </w:rPr>
        <w:t xml:space="preserve">Follow-up via telemedicine </w:t>
      </w:r>
      <w:r w:rsidR="00280A2F">
        <w:rPr>
          <w:rFonts w:ascii="Calibri" w:eastAsia="Calibri" w:hAnsi="Calibri" w:cs="Calibri"/>
          <w:color w:val="000000" w:themeColor="text1"/>
        </w:rPr>
        <w:t>3-14</w:t>
      </w:r>
      <w:bookmarkStart w:id="0" w:name="_GoBack"/>
      <w:bookmarkEnd w:id="0"/>
      <w:r w:rsidRPr="021D4D4C">
        <w:rPr>
          <w:rFonts w:ascii="Calibri" w:eastAsia="Calibri" w:hAnsi="Calibri" w:cs="Calibri"/>
          <w:color w:val="000000" w:themeColor="text1"/>
        </w:rPr>
        <w:t xml:space="preserve"> days post treatment completion. Report to the CDC via the </w:t>
      </w:r>
      <w:hyperlink r:id="rId12">
        <w:r w:rsidRPr="021D4D4C">
          <w:rPr>
            <w:rStyle w:val="Hyperlink"/>
            <w:rFonts w:ascii="Calibri" w:eastAsia="Calibri" w:hAnsi="Calibri" w:cs="Calibri"/>
          </w:rPr>
          <w:t>clinical outcome form</w:t>
        </w:r>
      </w:hyperlink>
      <w:r w:rsidR="021D4D4C" w:rsidRPr="021D4D4C">
        <w:rPr>
          <w:rFonts w:ascii="Calibri" w:eastAsia="Calibri" w:hAnsi="Calibri" w:cs="Calibri"/>
        </w:rPr>
        <w:t xml:space="preserve"> </w:t>
      </w:r>
    </w:p>
    <w:p w14:paraId="7E04004E" w14:textId="2B62C965" w:rsidR="718D3350" w:rsidRDefault="718D3350" w:rsidP="021D4D4C">
      <w:pPr>
        <w:pStyle w:val="ListParagraph"/>
        <w:numPr>
          <w:ilvl w:val="1"/>
          <w:numId w:val="2"/>
        </w:numPr>
        <w:spacing w:after="0"/>
        <w:ind w:left="1080"/>
        <w:rPr>
          <w:color w:val="000000" w:themeColor="text1"/>
        </w:rPr>
      </w:pPr>
      <w:r w:rsidRPr="021D4D4C">
        <w:rPr>
          <w:color w:val="000000" w:themeColor="text1"/>
        </w:rPr>
        <w:t xml:space="preserve">If patients have questions or concerns during treatment, the prescribing provider or their designee will be responsible for responding </w:t>
      </w:r>
    </w:p>
    <w:p w14:paraId="288D3348" w14:textId="153A071D" w:rsidR="718D3350" w:rsidRDefault="1DBE5D9E" w:rsidP="021D4D4C">
      <w:pPr>
        <w:pStyle w:val="ListParagraph"/>
        <w:numPr>
          <w:ilvl w:val="1"/>
          <w:numId w:val="2"/>
        </w:numPr>
        <w:spacing w:after="0"/>
        <w:ind w:left="1080"/>
        <w:rPr>
          <w:b/>
          <w:bCs/>
          <w:color w:val="000000" w:themeColor="text1"/>
        </w:rPr>
      </w:pPr>
      <w:r w:rsidRPr="021D4D4C">
        <w:rPr>
          <w:rFonts w:ascii="Calibri" w:eastAsia="Calibri" w:hAnsi="Calibri" w:cs="Calibri"/>
          <w:color w:val="000000" w:themeColor="text1"/>
        </w:rPr>
        <w:t xml:space="preserve">Serious adverse events must be </w:t>
      </w:r>
      <w:hyperlink r:id="rId13">
        <w:r w:rsidRPr="021D4D4C">
          <w:rPr>
            <w:rStyle w:val="Hyperlink"/>
            <w:rFonts w:ascii="Calibri" w:eastAsia="Calibri" w:hAnsi="Calibri" w:cs="Calibri"/>
          </w:rPr>
          <w:t>reported to the CDC within 72 hours of awareness</w:t>
        </w:r>
      </w:hyperlink>
    </w:p>
    <w:p w14:paraId="1FE08A1E" w14:textId="7F52FE9B" w:rsidR="378FB3D7" w:rsidRDefault="378FB3D7" w:rsidP="021D4D4C">
      <w:pPr>
        <w:spacing w:after="0"/>
        <w:ind w:left="360"/>
        <w:rPr>
          <w:rFonts w:ascii="Calibri" w:eastAsia="Calibri" w:hAnsi="Calibri" w:cs="Calibri"/>
          <w:color w:val="000000" w:themeColor="text1"/>
        </w:rPr>
      </w:pPr>
    </w:p>
    <w:p w14:paraId="45E63581" w14:textId="5A36BC79" w:rsidR="021D4D4C" w:rsidRDefault="021D4D4C" w:rsidP="021D4D4C">
      <w:pPr>
        <w:spacing w:after="0"/>
        <w:ind w:left="360"/>
        <w:rPr>
          <w:rFonts w:ascii="Calibri" w:eastAsia="Calibri" w:hAnsi="Calibri" w:cs="Calibri"/>
          <w:color w:val="000000" w:themeColor="text1"/>
        </w:rPr>
      </w:pPr>
    </w:p>
    <w:p w14:paraId="6BDC127E" w14:textId="166F3953" w:rsidR="718D3350" w:rsidRDefault="718D3350" w:rsidP="021D4D4C">
      <w:pPr>
        <w:spacing w:after="0"/>
        <w:rPr>
          <w:rFonts w:eastAsiaTheme="minorEastAsia"/>
          <w:b/>
          <w:bCs/>
          <w:color w:val="000000" w:themeColor="text1"/>
        </w:rPr>
      </w:pPr>
      <w:r w:rsidRPr="021D4D4C">
        <w:rPr>
          <w:rFonts w:eastAsiaTheme="minorEastAsia"/>
          <w:color w:val="000000" w:themeColor="text1"/>
        </w:rPr>
        <w:t>For Questions about high-risk exposures or vaccination, refer to Post-Exposure Prophylaxis Section of OCCAM (forthcoming)</w:t>
      </w:r>
    </w:p>
    <w:p w14:paraId="65084D9B" w14:textId="55D51B56" w:rsidR="1DBE5D9E" w:rsidRDefault="1DBE5D9E" w:rsidP="1DBE5D9E">
      <w:pPr>
        <w:spacing w:after="0"/>
        <w:ind w:left="360"/>
        <w:rPr>
          <w:rFonts w:ascii="Calibri" w:eastAsia="Calibri" w:hAnsi="Calibri" w:cs="Calibri"/>
          <w:b/>
          <w:bCs/>
          <w:color w:val="323130"/>
        </w:rPr>
      </w:pPr>
    </w:p>
    <w:p w14:paraId="6785B08B" w14:textId="595B9E15" w:rsidR="1DBE5D9E" w:rsidRDefault="1DBE5D9E" w:rsidP="1DBE5D9E">
      <w:pPr>
        <w:spacing w:after="0"/>
        <w:ind w:left="360"/>
        <w:rPr>
          <w:rFonts w:ascii="Calibri" w:eastAsia="Calibri" w:hAnsi="Calibri" w:cs="Calibri"/>
          <w:color w:val="323130"/>
        </w:rPr>
      </w:pPr>
      <w:r w:rsidRPr="1DBE5D9E">
        <w:rPr>
          <w:rFonts w:ascii="Calibri" w:eastAsia="Calibri" w:hAnsi="Calibri" w:cs="Calibri"/>
          <w:b/>
          <w:bCs/>
          <w:color w:val="323130"/>
        </w:rPr>
        <w:t>See Infection Prevention/Control sites for additional guidance, including PPE requirements:</w:t>
      </w:r>
      <w:r w:rsidRPr="1DBE5D9E">
        <w:rPr>
          <w:rFonts w:ascii="Calibri" w:eastAsia="Calibri" w:hAnsi="Calibri" w:cs="Calibri"/>
          <w:color w:val="323130"/>
        </w:rPr>
        <w:t>  </w:t>
      </w:r>
    </w:p>
    <w:p w14:paraId="33C9C623" w14:textId="27B6F642" w:rsidR="1DBE5D9E" w:rsidRDefault="00280A2F" w:rsidP="718D3350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eastAsiaTheme="minorEastAsia"/>
          <w:color w:val="323130"/>
        </w:rPr>
      </w:pPr>
      <w:hyperlink r:id="rId14">
        <w:r w:rsidR="1DBE5D9E" w:rsidRPr="718D3350">
          <w:rPr>
            <w:rStyle w:val="Hyperlink"/>
            <w:rFonts w:ascii="Calibri" w:eastAsia="Calibri" w:hAnsi="Calibri" w:cs="Calibri"/>
          </w:rPr>
          <w:t>UWMC Monkeypox page</w:t>
        </w:r>
      </w:hyperlink>
      <w:r w:rsidR="1DBE5D9E" w:rsidRPr="718D3350">
        <w:rPr>
          <w:rFonts w:ascii="Calibri" w:eastAsia="Calibri" w:hAnsi="Calibri" w:cs="Calibri"/>
          <w:color w:val="323130"/>
        </w:rPr>
        <w:t> (intranet)  </w:t>
      </w:r>
    </w:p>
    <w:p w14:paraId="23972D55" w14:textId="18F36484" w:rsidR="1DBE5D9E" w:rsidRDefault="00280A2F" w:rsidP="718D3350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eastAsiaTheme="minorEastAsia"/>
          <w:color w:val="323130"/>
        </w:rPr>
      </w:pPr>
      <w:hyperlink r:id="rId15">
        <w:r w:rsidR="1DBE5D9E" w:rsidRPr="718D3350">
          <w:rPr>
            <w:rStyle w:val="Hyperlink"/>
            <w:rFonts w:ascii="Calibri" w:eastAsia="Calibri" w:hAnsi="Calibri" w:cs="Calibri"/>
          </w:rPr>
          <w:t>HMC Monkeypox page</w:t>
        </w:r>
      </w:hyperlink>
      <w:r w:rsidR="1DBE5D9E" w:rsidRPr="718D3350">
        <w:rPr>
          <w:rFonts w:ascii="Calibri" w:eastAsia="Calibri" w:hAnsi="Calibri" w:cs="Calibri"/>
          <w:color w:val="323130"/>
        </w:rPr>
        <w:t> (intranet)  </w:t>
      </w:r>
    </w:p>
    <w:p w14:paraId="391DE30E" w14:textId="78862B49" w:rsidR="1DBE5D9E" w:rsidRDefault="1DBE5D9E" w:rsidP="1DBE5D9E">
      <w:pPr>
        <w:spacing w:after="0"/>
      </w:pPr>
    </w:p>
    <w:sectPr w:rsidR="1DBE5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023E"/>
    <w:multiLevelType w:val="hybridMultilevel"/>
    <w:tmpl w:val="FFFFFFFF"/>
    <w:lvl w:ilvl="0" w:tplc="B9FED124">
      <w:start w:val="1"/>
      <w:numFmt w:val="decimal"/>
      <w:lvlText w:val="%1)"/>
      <w:lvlJc w:val="left"/>
      <w:pPr>
        <w:ind w:left="720" w:hanging="360"/>
      </w:pPr>
    </w:lvl>
    <w:lvl w:ilvl="1" w:tplc="DFC65B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A226B42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20D849C8">
      <w:start w:val="1"/>
      <w:numFmt w:val="decimal"/>
      <w:lvlText w:val="%4."/>
      <w:lvlJc w:val="left"/>
      <w:pPr>
        <w:ind w:left="2880" w:hanging="360"/>
      </w:pPr>
    </w:lvl>
    <w:lvl w:ilvl="4" w:tplc="05CE1146">
      <w:start w:val="1"/>
      <w:numFmt w:val="lowerLetter"/>
      <w:lvlText w:val="%5."/>
      <w:lvlJc w:val="left"/>
      <w:pPr>
        <w:ind w:left="3600" w:hanging="360"/>
      </w:pPr>
    </w:lvl>
    <w:lvl w:ilvl="5" w:tplc="F290399A">
      <w:start w:val="1"/>
      <w:numFmt w:val="lowerRoman"/>
      <w:lvlText w:val="%6."/>
      <w:lvlJc w:val="right"/>
      <w:pPr>
        <w:ind w:left="4320" w:hanging="180"/>
      </w:pPr>
    </w:lvl>
    <w:lvl w:ilvl="6" w:tplc="40F8ED1A">
      <w:start w:val="1"/>
      <w:numFmt w:val="decimal"/>
      <w:lvlText w:val="%7."/>
      <w:lvlJc w:val="left"/>
      <w:pPr>
        <w:ind w:left="5040" w:hanging="360"/>
      </w:pPr>
    </w:lvl>
    <w:lvl w:ilvl="7" w:tplc="7C38ED9A">
      <w:start w:val="1"/>
      <w:numFmt w:val="lowerLetter"/>
      <w:lvlText w:val="%8."/>
      <w:lvlJc w:val="left"/>
      <w:pPr>
        <w:ind w:left="5760" w:hanging="360"/>
      </w:pPr>
    </w:lvl>
    <w:lvl w:ilvl="8" w:tplc="D4B0E2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0071"/>
    <w:multiLevelType w:val="hybridMultilevel"/>
    <w:tmpl w:val="FFFFFFFF"/>
    <w:lvl w:ilvl="0" w:tplc="7B84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68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CE1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AA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C4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6C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67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0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80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077EE"/>
    <w:multiLevelType w:val="hybridMultilevel"/>
    <w:tmpl w:val="FFFFFFFF"/>
    <w:lvl w:ilvl="0" w:tplc="34424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E4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4D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8A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C6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6C5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09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0C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03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0C03"/>
    <w:multiLevelType w:val="hybridMultilevel"/>
    <w:tmpl w:val="FFFFFFFF"/>
    <w:lvl w:ilvl="0" w:tplc="CE52D9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922E4D6">
      <w:start w:val="1"/>
      <w:numFmt w:val="lowerLetter"/>
      <w:lvlText w:val="%2."/>
      <w:lvlJc w:val="left"/>
      <w:pPr>
        <w:ind w:left="1800" w:hanging="360"/>
      </w:pPr>
    </w:lvl>
    <w:lvl w:ilvl="2" w:tplc="83B4392A">
      <w:start w:val="1"/>
      <w:numFmt w:val="lowerRoman"/>
      <w:lvlText w:val="%3."/>
      <w:lvlJc w:val="right"/>
      <w:pPr>
        <w:ind w:left="2520" w:hanging="180"/>
      </w:pPr>
    </w:lvl>
    <w:lvl w:ilvl="3" w:tplc="851AC73C">
      <w:start w:val="1"/>
      <w:numFmt w:val="decimal"/>
      <w:lvlText w:val="%4."/>
      <w:lvlJc w:val="left"/>
      <w:pPr>
        <w:ind w:left="3240" w:hanging="360"/>
      </w:pPr>
    </w:lvl>
    <w:lvl w:ilvl="4" w:tplc="E99A441C">
      <w:start w:val="1"/>
      <w:numFmt w:val="lowerLetter"/>
      <w:lvlText w:val="%5."/>
      <w:lvlJc w:val="left"/>
      <w:pPr>
        <w:ind w:left="3960" w:hanging="360"/>
      </w:pPr>
    </w:lvl>
    <w:lvl w:ilvl="5" w:tplc="63A2DD1C">
      <w:start w:val="1"/>
      <w:numFmt w:val="lowerRoman"/>
      <w:lvlText w:val="%6."/>
      <w:lvlJc w:val="right"/>
      <w:pPr>
        <w:ind w:left="4680" w:hanging="180"/>
      </w:pPr>
    </w:lvl>
    <w:lvl w:ilvl="6" w:tplc="24D08836">
      <w:start w:val="1"/>
      <w:numFmt w:val="decimal"/>
      <w:lvlText w:val="%7."/>
      <w:lvlJc w:val="left"/>
      <w:pPr>
        <w:ind w:left="5400" w:hanging="360"/>
      </w:pPr>
    </w:lvl>
    <w:lvl w:ilvl="7" w:tplc="EB80416C">
      <w:start w:val="1"/>
      <w:numFmt w:val="lowerLetter"/>
      <w:lvlText w:val="%8."/>
      <w:lvlJc w:val="left"/>
      <w:pPr>
        <w:ind w:left="6120" w:hanging="360"/>
      </w:pPr>
    </w:lvl>
    <w:lvl w:ilvl="8" w:tplc="2176F5C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A34CE"/>
    <w:multiLevelType w:val="hybridMultilevel"/>
    <w:tmpl w:val="FFFFFFFF"/>
    <w:lvl w:ilvl="0" w:tplc="7CCE693A">
      <w:start w:val="1"/>
      <w:numFmt w:val="decimal"/>
      <w:lvlText w:val="%1)"/>
      <w:lvlJc w:val="left"/>
      <w:pPr>
        <w:ind w:left="720" w:hanging="360"/>
      </w:pPr>
    </w:lvl>
    <w:lvl w:ilvl="1" w:tplc="2F484810">
      <w:start w:val="1"/>
      <w:numFmt w:val="lowerLetter"/>
      <w:lvlText w:val="%2."/>
      <w:lvlJc w:val="left"/>
      <w:pPr>
        <w:ind w:left="1440" w:hanging="360"/>
      </w:pPr>
    </w:lvl>
    <w:lvl w:ilvl="2" w:tplc="0B087C00">
      <w:start w:val="1"/>
      <w:numFmt w:val="lowerRoman"/>
      <w:lvlText w:val="%3."/>
      <w:lvlJc w:val="right"/>
      <w:pPr>
        <w:ind w:left="2160" w:hanging="180"/>
      </w:pPr>
    </w:lvl>
    <w:lvl w:ilvl="3" w:tplc="A6082D5E">
      <w:start w:val="1"/>
      <w:numFmt w:val="decimal"/>
      <w:lvlText w:val="%4."/>
      <w:lvlJc w:val="left"/>
      <w:pPr>
        <w:ind w:left="2880" w:hanging="360"/>
      </w:pPr>
    </w:lvl>
    <w:lvl w:ilvl="4" w:tplc="C19278EE">
      <w:start w:val="1"/>
      <w:numFmt w:val="lowerLetter"/>
      <w:lvlText w:val="%5."/>
      <w:lvlJc w:val="left"/>
      <w:pPr>
        <w:ind w:left="3600" w:hanging="360"/>
      </w:pPr>
    </w:lvl>
    <w:lvl w:ilvl="5" w:tplc="AED257BA">
      <w:start w:val="1"/>
      <w:numFmt w:val="lowerRoman"/>
      <w:lvlText w:val="%6."/>
      <w:lvlJc w:val="right"/>
      <w:pPr>
        <w:ind w:left="4320" w:hanging="180"/>
      </w:pPr>
    </w:lvl>
    <w:lvl w:ilvl="6" w:tplc="058288E4">
      <w:start w:val="1"/>
      <w:numFmt w:val="decimal"/>
      <w:lvlText w:val="%7."/>
      <w:lvlJc w:val="left"/>
      <w:pPr>
        <w:ind w:left="5040" w:hanging="360"/>
      </w:pPr>
    </w:lvl>
    <w:lvl w:ilvl="7" w:tplc="0302BDE6">
      <w:start w:val="1"/>
      <w:numFmt w:val="lowerLetter"/>
      <w:lvlText w:val="%8."/>
      <w:lvlJc w:val="left"/>
      <w:pPr>
        <w:ind w:left="5760" w:hanging="360"/>
      </w:pPr>
    </w:lvl>
    <w:lvl w:ilvl="8" w:tplc="C73275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B24A6"/>
    <w:multiLevelType w:val="hybridMultilevel"/>
    <w:tmpl w:val="FFFFFFFF"/>
    <w:lvl w:ilvl="0" w:tplc="8A2E79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187CBA">
      <w:start w:val="1"/>
      <w:numFmt w:val="lowerLetter"/>
      <w:lvlText w:val="%2."/>
      <w:lvlJc w:val="left"/>
      <w:pPr>
        <w:ind w:left="1800" w:hanging="360"/>
      </w:pPr>
    </w:lvl>
    <w:lvl w:ilvl="2" w:tplc="5456E8D8">
      <w:start w:val="1"/>
      <w:numFmt w:val="lowerRoman"/>
      <w:lvlText w:val="%3."/>
      <w:lvlJc w:val="right"/>
      <w:pPr>
        <w:ind w:left="2520" w:hanging="180"/>
      </w:pPr>
    </w:lvl>
    <w:lvl w:ilvl="3" w:tplc="39609B2E">
      <w:start w:val="1"/>
      <w:numFmt w:val="decimal"/>
      <w:lvlText w:val="%4."/>
      <w:lvlJc w:val="left"/>
      <w:pPr>
        <w:ind w:left="3240" w:hanging="360"/>
      </w:pPr>
    </w:lvl>
    <w:lvl w:ilvl="4" w:tplc="AF1C3636">
      <w:start w:val="1"/>
      <w:numFmt w:val="lowerLetter"/>
      <w:lvlText w:val="%5."/>
      <w:lvlJc w:val="left"/>
      <w:pPr>
        <w:ind w:left="3960" w:hanging="360"/>
      </w:pPr>
    </w:lvl>
    <w:lvl w:ilvl="5" w:tplc="054EFAD4">
      <w:start w:val="1"/>
      <w:numFmt w:val="lowerRoman"/>
      <w:lvlText w:val="%6."/>
      <w:lvlJc w:val="right"/>
      <w:pPr>
        <w:ind w:left="4680" w:hanging="180"/>
      </w:pPr>
    </w:lvl>
    <w:lvl w:ilvl="6" w:tplc="5A0E2810">
      <w:start w:val="1"/>
      <w:numFmt w:val="decimal"/>
      <w:lvlText w:val="%7."/>
      <w:lvlJc w:val="left"/>
      <w:pPr>
        <w:ind w:left="5400" w:hanging="360"/>
      </w:pPr>
    </w:lvl>
    <w:lvl w:ilvl="7" w:tplc="70783528">
      <w:start w:val="1"/>
      <w:numFmt w:val="lowerLetter"/>
      <w:lvlText w:val="%8."/>
      <w:lvlJc w:val="left"/>
      <w:pPr>
        <w:ind w:left="6120" w:hanging="360"/>
      </w:pPr>
    </w:lvl>
    <w:lvl w:ilvl="8" w:tplc="C8A62CAC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B3B879"/>
    <w:multiLevelType w:val="hybridMultilevel"/>
    <w:tmpl w:val="FFFFFFFF"/>
    <w:lvl w:ilvl="0" w:tplc="2EF0F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E0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AA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ED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63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C1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40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E9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CA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5E346"/>
    <w:multiLevelType w:val="hybridMultilevel"/>
    <w:tmpl w:val="FFFFFFFF"/>
    <w:lvl w:ilvl="0" w:tplc="4112D15A">
      <w:start w:val="1"/>
      <w:numFmt w:val="decimal"/>
      <w:lvlText w:val="%1)"/>
      <w:lvlJc w:val="left"/>
      <w:pPr>
        <w:ind w:left="720" w:hanging="360"/>
      </w:pPr>
    </w:lvl>
    <w:lvl w:ilvl="1" w:tplc="25E64CBA">
      <w:start w:val="1"/>
      <w:numFmt w:val="lowerLetter"/>
      <w:lvlText w:val="%2."/>
      <w:lvlJc w:val="left"/>
      <w:pPr>
        <w:ind w:left="1440" w:hanging="360"/>
      </w:pPr>
    </w:lvl>
    <w:lvl w:ilvl="2" w:tplc="E0FCDE4A">
      <w:start w:val="1"/>
      <w:numFmt w:val="lowerRoman"/>
      <w:lvlText w:val="%3."/>
      <w:lvlJc w:val="right"/>
      <w:pPr>
        <w:ind w:left="2160" w:hanging="180"/>
      </w:pPr>
    </w:lvl>
    <w:lvl w:ilvl="3" w:tplc="66289E9E">
      <w:start w:val="1"/>
      <w:numFmt w:val="decimal"/>
      <w:lvlText w:val="%4."/>
      <w:lvlJc w:val="left"/>
      <w:pPr>
        <w:ind w:left="2880" w:hanging="360"/>
      </w:pPr>
    </w:lvl>
    <w:lvl w:ilvl="4" w:tplc="90266A22">
      <w:start w:val="1"/>
      <w:numFmt w:val="lowerLetter"/>
      <w:lvlText w:val="%5."/>
      <w:lvlJc w:val="left"/>
      <w:pPr>
        <w:ind w:left="3600" w:hanging="360"/>
      </w:pPr>
    </w:lvl>
    <w:lvl w:ilvl="5" w:tplc="F19CA5A6">
      <w:start w:val="1"/>
      <w:numFmt w:val="lowerRoman"/>
      <w:lvlText w:val="%6."/>
      <w:lvlJc w:val="right"/>
      <w:pPr>
        <w:ind w:left="4320" w:hanging="180"/>
      </w:pPr>
    </w:lvl>
    <w:lvl w:ilvl="6" w:tplc="7608A168">
      <w:start w:val="1"/>
      <w:numFmt w:val="decimal"/>
      <w:lvlText w:val="%7."/>
      <w:lvlJc w:val="left"/>
      <w:pPr>
        <w:ind w:left="5040" w:hanging="360"/>
      </w:pPr>
    </w:lvl>
    <w:lvl w:ilvl="7" w:tplc="947C05B2">
      <w:start w:val="1"/>
      <w:numFmt w:val="lowerLetter"/>
      <w:lvlText w:val="%8."/>
      <w:lvlJc w:val="left"/>
      <w:pPr>
        <w:ind w:left="5760" w:hanging="360"/>
      </w:pPr>
    </w:lvl>
    <w:lvl w:ilvl="8" w:tplc="EC7CD0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ED7E3"/>
    <w:multiLevelType w:val="hybridMultilevel"/>
    <w:tmpl w:val="FFFFFFFF"/>
    <w:lvl w:ilvl="0" w:tplc="E89654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A1AC8D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8BCB6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7ECAE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3CE66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CBABE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2A96E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BC9F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DE605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883F9F"/>
    <w:multiLevelType w:val="multilevel"/>
    <w:tmpl w:val="0F54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392C42"/>
    <w:multiLevelType w:val="hybridMultilevel"/>
    <w:tmpl w:val="FFFFFFFF"/>
    <w:lvl w:ilvl="0" w:tplc="FC088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22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A2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82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47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6C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C1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C0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8E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0A136"/>
    <w:multiLevelType w:val="hybridMultilevel"/>
    <w:tmpl w:val="FFFFFFFF"/>
    <w:lvl w:ilvl="0" w:tplc="CAA235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C80B2D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5545B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A4C2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2056C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092ED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248D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42394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31E8F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322360"/>
    <w:rsid w:val="00216AF9"/>
    <w:rsid w:val="0024782D"/>
    <w:rsid w:val="00280A2F"/>
    <w:rsid w:val="002C1765"/>
    <w:rsid w:val="00390CD0"/>
    <w:rsid w:val="003E2951"/>
    <w:rsid w:val="0041CDA1"/>
    <w:rsid w:val="004B0BC3"/>
    <w:rsid w:val="004E6497"/>
    <w:rsid w:val="005A1670"/>
    <w:rsid w:val="006555CD"/>
    <w:rsid w:val="008B453B"/>
    <w:rsid w:val="00936AFE"/>
    <w:rsid w:val="00AE5291"/>
    <w:rsid w:val="00B36C4D"/>
    <w:rsid w:val="00CA1C6E"/>
    <w:rsid w:val="00CB3730"/>
    <w:rsid w:val="00E250A5"/>
    <w:rsid w:val="00F3375E"/>
    <w:rsid w:val="00F6082A"/>
    <w:rsid w:val="00FA2221"/>
    <w:rsid w:val="021D4D4C"/>
    <w:rsid w:val="03408765"/>
    <w:rsid w:val="03677F6E"/>
    <w:rsid w:val="0401578E"/>
    <w:rsid w:val="04933D8A"/>
    <w:rsid w:val="06782827"/>
    <w:rsid w:val="07E8F344"/>
    <w:rsid w:val="08A1BDEC"/>
    <w:rsid w:val="0A3D8E4D"/>
    <w:rsid w:val="0B1A039E"/>
    <w:rsid w:val="0BB04EDA"/>
    <w:rsid w:val="0C12C349"/>
    <w:rsid w:val="0C376EB7"/>
    <w:rsid w:val="0CDE479C"/>
    <w:rsid w:val="0E3D0D45"/>
    <w:rsid w:val="0EE7583D"/>
    <w:rsid w:val="0F25F53D"/>
    <w:rsid w:val="0F440A35"/>
    <w:rsid w:val="0F85FB9B"/>
    <w:rsid w:val="0FB577BE"/>
    <w:rsid w:val="0FE4A7C2"/>
    <w:rsid w:val="1022919F"/>
    <w:rsid w:val="1093A774"/>
    <w:rsid w:val="1121CBFC"/>
    <w:rsid w:val="118FD58A"/>
    <w:rsid w:val="121EF8FF"/>
    <w:rsid w:val="123F3BBB"/>
    <w:rsid w:val="127BAAF7"/>
    <w:rsid w:val="145BA8F9"/>
    <w:rsid w:val="14D95333"/>
    <w:rsid w:val="159536C1"/>
    <w:rsid w:val="164A83F2"/>
    <w:rsid w:val="16C03709"/>
    <w:rsid w:val="16F36641"/>
    <w:rsid w:val="16F90BF9"/>
    <w:rsid w:val="1777E523"/>
    <w:rsid w:val="182A1C52"/>
    <w:rsid w:val="1980A825"/>
    <w:rsid w:val="19A01255"/>
    <w:rsid w:val="1DBE5D9E"/>
    <w:rsid w:val="1DE962E2"/>
    <w:rsid w:val="1FD8169D"/>
    <w:rsid w:val="1FE45946"/>
    <w:rsid w:val="20DDB84F"/>
    <w:rsid w:val="20DFD6EE"/>
    <w:rsid w:val="218029A7"/>
    <w:rsid w:val="22627EF2"/>
    <w:rsid w:val="232E6E67"/>
    <w:rsid w:val="24013CC8"/>
    <w:rsid w:val="2458A466"/>
    <w:rsid w:val="24CA3EC8"/>
    <w:rsid w:val="261FF5BF"/>
    <w:rsid w:val="26CF0F5D"/>
    <w:rsid w:val="26E3A7E3"/>
    <w:rsid w:val="277F0A51"/>
    <w:rsid w:val="27CA0025"/>
    <w:rsid w:val="291ADAB2"/>
    <w:rsid w:val="29DC107D"/>
    <w:rsid w:val="2B4D7DAA"/>
    <w:rsid w:val="2C105286"/>
    <w:rsid w:val="2C277630"/>
    <w:rsid w:val="2C409E8D"/>
    <w:rsid w:val="2CE94E0B"/>
    <w:rsid w:val="2DE7176C"/>
    <w:rsid w:val="2E590BDD"/>
    <w:rsid w:val="2E6ECFA3"/>
    <w:rsid w:val="2F31BF61"/>
    <w:rsid w:val="2F8A1C36"/>
    <w:rsid w:val="33647829"/>
    <w:rsid w:val="337388EC"/>
    <w:rsid w:val="34581315"/>
    <w:rsid w:val="35F3E376"/>
    <w:rsid w:val="36842079"/>
    <w:rsid w:val="378FB3D7"/>
    <w:rsid w:val="3930FE7C"/>
    <w:rsid w:val="3A6FB743"/>
    <w:rsid w:val="3B7C642F"/>
    <w:rsid w:val="3CA96C4C"/>
    <w:rsid w:val="3D075F5B"/>
    <w:rsid w:val="3E760A01"/>
    <w:rsid w:val="3EF0450C"/>
    <w:rsid w:val="3F81C648"/>
    <w:rsid w:val="4011DA62"/>
    <w:rsid w:val="413743EA"/>
    <w:rsid w:val="413C1061"/>
    <w:rsid w:val="41AEBDEF"/>
    <w:rsid w:val="422FD354"/>
    <w:rsid w:val="42D3144B"/>
    <w:rsid w:val="42F0A37D"/>
    <w:rsid w:val="44F84630"/>
    <w:rsid w:val="456E973A"/>
    <w:rsid w:val="45B269EA"/>
    <w:rsid w:val="460C1659"/>
    <w:rsid w:val="466264DE"/>
    <w:rsid w:val="476A4E02"/>
    <w:rsid w:val="4833F364"/>
    <w:rsid w:val="49D8A2A0"/>
    <w:rsid w:val="4B6B9426"/>
    <w:rsid w:val="4C864AEC"/>
    <w:rsid w:val="4D0F1554"/>
    <w:rsid w:val="507FC389"/>
    <w:rsid w:val="51E3B485"/>
    <w:rsid w:val="51EBA20B"/>
    <w:rsid w:val="5234BC47"/>
    <w:rsid w:val="528269F1"/>
    <w:rsid w:val="52C281AB"/>
    <w:rsid w:val="53C89F22"/>
    <w:rsid w:val="54665C8C"/>
    <w:rsid w:val="54675F3F"/>
    <w:rsid w:val="554157C5"/>
    <w:rsid w:val="557D97E0"/>
    <w:rsid w:val="56DD2826"/>
    <w:rsid w:val="573F780C"/>
    <w:rsid w:val="5794ADB3"/>
    <w:rsid w:val="57AF064F"/>
    <w:rsid w:val="57FD510A"/>
    <w:rsid w:val="580D2B34"/>
    <w:rsid w:val="58A3FDCB"/>
    <w:rsid w:val="594AD6B0"/>
    <w:rsid w:val="5A322360"/>
    <w:rsid w:val="5A717547"/>
    <w:rsid w:val="5B928451"/>
    <w:rsid w:val="5C269461"/>
    <w:rsid w:val="5C9C6EB6"/>
    <w:rsid w:val="5D522C08"/>
    <w:rsid w:val="5D9B0260"/>
    <w:rsid w:val="5DC264C2"/>
    <w:rsid w:val="5F93F348"/>
    <w:rsid w:val="5FD40F78"/>
    <w:rsid w:val="616FDFD9"/>
    <w:rsid w:val="61F8E6FA"/>
    <w:rsid w:val="6278B274"/>
    <w:rsid w:val="6295D5E5"/>
    <w:rsid w:val="62A835AE"/>
    <w:rsid w:val="62CEF282"/>
    <w:rsid w:val="62ED9B42"/>
    <w:rsid w:val="65256939"/>
    <w:rsid w:val="65396697"/>
    <w:rsid w:val="658280D3"/>
    <w:rsid w:val="676C098F"/>
    <w:rsid w:val="67AFD18E"/>
    <w:rsid w:val="68C0AD41"/>
    <w:rsid w:val="698DE026"/>
    <w:rsid w:val="6BE08780"/>
    <w:rsid w:val="6C7E10CA"/>
    <w:rsid w:val="6D2B78F2"/>
    <w:rsid w:val="6DD18D6F"/>
    <w:rsid w:val="6E0A1D45"/>
    <w:rsid w:val="6F182842"/>
    <w:rsid w:val="6F944D2D"/>
    <w:rsid w:val="6FBAE373"/>
    <w:rsid w:val="7156B3D4"/>
    <w:rsid w:val="718D3350"/>
    <w:rsid w:val="71B6BA32"/>
    <w:rsid w:val="72E26D9D"/>
    <w:rsid w:val="73EB9965"/>
    <w:rsid w:val="74AC698E"/>
    <w:rsid w:val="74EE5AF4"/>
    <w:rsid w:val="75F116A2"/>
    <w:rsid w:val="76217C6B"/>
    <w:rsid w:val="77BD167D"/>
    <w:rsid w:val="78503D45"/>
    <w:rsid w:val="78A1E179"/>
    <w:rsid w:val="7961C5B9"/>
    <w:rsid w:val="7B5EDC7B"/>
    <w:rsid w:val="7BCFAC94"/>
    <w:rsid w:val="7ECC0973"/>
    <w:rsid w:val="7F65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2360"/>
  <w15:chartTrackingRefBased/>
  <w15:docId w15:val="{B4F79D04-265B-4745-87B0-6832477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poxvirus/monkeypox/pdf/Attachment-2-Form-A-Patient-Intake-Form.pdf" TargetMode="External"/><Relationship Id="rId13" Type="http://schemas.openxmlformats.org/officeDocument/2006/relationships/hyperlink" Target="https://www.cdc.gov/poxvirus/monkeypox/clinicians/obtaining-tecovirima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poxvirus/monkeypox/pdf/Attachment-1-Informed-Consent.pdf" TargetMode="External"/><Relationship Id="rId12" Type="http://schemas.openxmlformats.org/officeDocument/2006/relationships/hyperlink" Target="https://www.cdc.gov/poxvirus/monkeypox/pdf/Attachment-2-Form-B-Clinical-Outcome-Form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dc.gov/poxvirus/monkeypox/clinicians/Tecovirimat.html" TargetMode="External"/><Relationship Id="rId11" Type="http://schemas.openxmlformats.org/officeDocument/2006/relationships/hyperlink" Target="https://www.cdc.gov/poxvirus/monkeypox/clinicians/obtaining-tecovirimat.html" TargetMode="External"/><Relationship Id="rId5" Type="http://schemas.openxmlformats.org/officeDocument/2006/relationships/hyperlink" Target="https://www.cdc.gov/poxvirus/monkeypox/clinicians/Tecovirimat.html" TargetMode="External"/><Relationship Id="rId15" Type="http://schemas.openxmlformats.org/officeDocument/2006/relationships/hyperlink" Target="https://hmc.uwmedicine.org/BU/InfectionControl/PAGES/Orthopox-(Monkeypox)-.aspx" TargetMode="External"/><Relationship Id="rId10" Type="http://schemas.openxmlformats.org/officeDocument/2006/relationships/hyperlink" Target="https://www.cdc.gov/poxvirus/monkeypox/clinicians/obtaining-tecovirima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poxvirus/monkeypox/clinicians/obtaining-tecovirimat.html" TargetMode="External"/><Relationship Id="rId14" Type="http://schemas.openxmlformats.org/officeDocument/2006/relationships/hyperlink" Target="https://uwmc.uwmedicine.org/BU/infectioncontrol/Pages/Monkeypo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Bryson-Cahn</dc:creator>
  <cp:keywords/>
  <dc:description/>
  <cp:lastModifiedBy>Hartlage, Whitney P</cp:lastModifiedBy>
  <cp:revision>2</cp:revision>
  <dcterms:created xsi:type="dcterms:W3CDTF">2022-09-20T21:07:00Z</dcterms:created>
  <dcterms:modified xsi:type="dcterms:W3CDTF">2022-09-20T21:07:00Z</dcterms:modified>
</cp:coreProperties>
</file>