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15D9" w14:textId="77777777" w:rsidR="00D36EC4" w:rsidRDefault="00D36EC4" w:rsidP="00D36EC4">
      <w:pPr>
        <w:ind w:left="720" w:hanging="360"/>
      </w:pPr>
    </w:p>
    <w:p w14:paraId="2A3CE423" w14:textId="4E4A1781" w:rsidR="00D36EC4" w:rsidRDefault="00D36EC4" w:rsidP="00D36EC4">
      <w:pPr>
        <w:pStyle w:val="ListParagraph"/>
        <w:numPr>
          <w:ilvl w:val="0"/>
          <w:numId w:val="1"/>
        </w:numPr>
      </w:pPr>
      <w:r>
        <w:t xml:space="preserve">You are running your facility’s SAAR report </w:t>
      </w:r>
      <w:r w:rsidR="006D3843">
        <w:t xml:space="preserve">to see what the </w:t>
      </w:r>
      <w:proofErr w:type="gramStart"/>
      <w:r w:rsidR="006D3843">
        <w:t>All Antibacterial</w:t>
      </w:r>
      <w:proofErr w:type="gramEnd"/>
      <w:r w:rsidR="006D3843">
        <w:t xml:space="preserve"> Agent SAAR values look like for your Adult Medical Ward for each quarter of 2022. The report gives you back the following SAAR values:</w:t>
      </w:r>
    </w:p>
    <w:p w14:paraId="2F174BD7" w14:textId="19100394" w:rsidR="006D3843" w:rsidRDefault="006D3843" w:rsidP="006D3843">
      <w:pPr>
        <w:pStyle w:val="ListParagraph"/>
        <w:numPr>
          <w:ilvl w:val="1"/>
          <w:numId w:val="3"/>
        </w:numPr>
      </w:pPr>
      <w:r>
        <w:t>Quarter 1: 1.5</w:t>
      </w:r>
    </w:p>
    <w:p w14:paraId="5BE4CC30" w14:textId="6EEE243E" w:rsidR="006D3843" w:rsidRDefault="006D3843" w:rsidP="006D3843">
      <w:pPr>
        <w:pStyle w:val="ListParagraph"/>
        <w:numPr>
          <w:ilvl w:val="1"/>
          <w:numId w:val="3"/>
        </w:numPr>
      </w:pPr>
      <w:r>
        <w:t>Quarter 2: 1.3</w:t>
      </w:r>
    </w:p>
    <w:p w14:paraId="072AB2FA" w14:textId="2985F3B6" w:rsidR="006D3843" w:rsidRDefault="006D3843" w:rsidP="006D3843">
      <w:pPr>
        <w:pStyle w:val="ListParagraph"/>
        <w:numPr>
          <w:ilvl w:val="1"/>
          <w:numId w:val="3"/>
        </w:numPr>
      </w:pPr>
      <w:r>
        <w:t>Quarter 3: 1.0</w:t>
      </w:r>
    </w:p>
    <w:p w14:paraId="37F1C230" w14:textId="644F37C8" w:rsidR="006D3843" w:rsidRDefault="006D3843" w:rsidP="006D3843">
      <w:pPr>
        <w:pStyle w:val="ListParagraph"/>
        <w:numPr>
          <w:ilvl w:val="1"/>
          <w:numId w:val="3"/>
        </w:numPr>
      </w:pPr>
      <w:r>
        <w:t>Quarter 4: 0.8</w:t>
      </w:r>
    </w:p>
    <w:p w14:paraId="59A45E0D" w14:textId="08B70FC2" w:rsidR="00D36EC4" w:rsidRDefault="006D3843" w:rsidP="006D3843">
      <w:pPr>
        <w:ind w:left="720"/>
      </w:pPr>
      <w:r>
        <w:t>Using the provided cheat sheet, how would you interpret each individual quarter’s SAAR value?</w:t>
      </w:r>
    </w:p>
    <w:p w14:paraId="5ED1A348" w14:textId="77777777" w:rsidR="006D3843" w:rsidRDefault="006D3843" w:rsidP="006D3843"/>
    <w:p w14:paraId="4CB9D9FA" w14:textId="77777777" w:rsidR="006D3843" w:rsidRDefault="006D3843" w:rsidP="006D3843"/>
    <w:p w14:paraId="46BB2F29" w14:textId="15BF0A59" w:rsidR="00BA040D" w:rsidRDefault="00D36EC4" w:rsidP="00D36EC4">
      <w:pPr>
        <w:pStyle w:val="ListParagraph"/>
        <w:numPr>
          <w:ilvl w:val="0"/>
          <w:numId w:val="1"/>
        </w:numPr>
      </w:pPr>
      <w:r>
        <w:t>A hospital wants to assess the impact of their efforts to decrease antifungal agent use for invasive candidiasis in their adult wards. They run the SAAR Report for Quarters 1 – 3 of 2019 and obtain the following result</w:t>
      </w:r>
      <w:r w:rsidR="008850CC">
        <w:t>s</w:t>
      </w:r>
      <w:r>
        <w:t>:</w:t>
      </w:r>
    </w:p>
    <w:p w14:paraId="3C6FAE4E" w14:textId="77777777" w:rsidR="00D36EC4" w:rsidRDefault="00D36EC4" w:rsidP="00D36EC4">
      <w:pPr>
        <w:pStyle w:val="ListParagraph"/>
      </w:pPr>
    </w:p>
    <w:p w14:paraId="617E12A5" w14:textId="72D17716" w:rsidR="00D36EC4" w:rsidRDefault="00D36EC4" w:rsidP="00D36EC4">
      <w:pPr>
        <w:jc w:val="center"/>
      </w:pPr>
      <w:r>
        <w:rPr>
          <w:noProof/>
        </w:rPr>
        <w:drawing>
          <wp:inline distT="0" distB="0" distL="0" distR="0" wp14:anchorId="6B7A598F" wp14:editId="503DB0D4">
            <wp:extent cx="6408751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509" cy="118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B978C" w14:textId="264D6026" w:rsidR="00D36EC4" w:rsidRDefault="006D3843" w:rsidP="00D36EC4">
      <w:pPr>
        <w:pStyle w:val="ListParagraph"/>
        <w:numPr>
          <w:ilvl w:val="0"/>
          <w:numId w:val="2"/>
        </w:numPr>
      </w:pPr>
      <w:r>
        <w:t>Were their efforts to decrease antifungal use successful?</w:t>
      </w:r>
    </w:p>
    <w:p w14:paraId="33750ADF" w14:textId="0EFFF1D0" w:rsidR="008850CC" w:rsidRDefault="008850CC" w:rsidP="00D36EC4">
      <w:pPr>
        <w:pStyle w:val="ListParagraph"/>
        <w:numPr>
          <w:ilvl w:val="0"/>
          <w:numId w:val="2"/>
        </w:numPr>
      </w:pPr>
      <w:r>
        <w:t>Do these SAAR values tell you if the use of these agents is clinically appropriate?</w:t>
      </w:r>
    </w:p>
    <w:p w14:paraId="5E88D65C" w14:textId="77777777" w:rsidR="006D3843" w:rsidRDefault="006D3843" w:rsidP="006D3843"/>
    <w:p w14:paraId="4103C895" w14:textId="45093C28" w:rsidR="008850CC" w:rsidRDefault="006D3843" w:rsidP="006D3843">
      <w:pPr>
        <w:pStyle w:val="ListParagraph"/>
        <w:numPr>
          <w:ilvl w:val="0"/>
          <w:numId w:val="1"/>
        </w:numPr>
      </w:pPr>
      <w:r>
        <w:t xml:space="preserve">You </w:t>
      </w:r>
      <w:r w:rsidR="008850CC">
        <w:t>are having a competition in your health system to see who can get their broad-spectrum antibacterial agents predominantly used for hospital-onset infections (BSHO) SAAR value the lowest. The facility administrator runs the report for July 2018 and obtains these results:</w:t>
      </w:r>
    </w:p>
    <w:p w14:paraId="7F8F9F60" w14:textId="699688B4" w:rsidR="006D3843" w:rsidRDefault="008850CC" w:rsidP="008850CC">
      <w:r w:rsidRPr="008850CC">
        <w:drawing>
          <wp:inline distT="0" distB="0" distL="0" distR="0" wp14:anchorId="59045730" wp14:editId="44658C77">
            <wp:extent cx="6320619" cy="1447800"/>
            <wp:effectExtent l="0" t="0" r="0" b="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AF8647BE-CFC8-7B2F-E9B7-1CD92516F6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AF8647BE-CFC8-7B2F-E9B7-1CD92516F6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6603" cy="144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D5FB8" w14:textId="42D912D6" w:rsidR="008850CC" w:rsidRDefault="008850CC" w:rsidP="008850CC">
      <w:pPr>
        <w:pStyle w:val="ListParagraph"/>
        <w:numPr>
          <w:ilvl w:val="1"/>
          <w:numId w:val="1"/>
        </w:numPr>
      </w:pPr>
      <w:r>
        <w:t>Which hospital is “winning” the competition?</w:t>
      </w:r>
    </w:p>
    <w:p w14:paraId="52BF15EA" w14:textId="3FBCE661" w:rsidR="008850CC" w:rsidRDefault="008850CC" w:rsidP="008850CC">
      <w:pPr>
        <w:pStyle w:val="ListParagraph"/>
        <w:numPr>
          <w:ilvl w:val="1"/>
          <w:numId w:val="1"/>
        </w:numPr>
      </w:pPr>
      <w:r>
        <w:t>Do these SAAR values tell you if the use of these agents is clinically appropriate?</w:t>
      </w:r>
    </w:p>
    <w:p w14:paraId="6BB530A9" w14:textId="0CEE8497" w:rsidR="00D36EC4" w:rsidRDefault="00D36EC4" w:rsidP="006E52A9">
      <w:pPr>
        <w:pStyle w:val="ListParagraph"/>
      </w:pPr>
    </w:p>
    <w:p w14:paraId="723D1E3C" w14:textId="44008479" w:rsidR="006E52A9" w:rsidRDefault="006E52A9" w:rsidP="006E52A9">
      <w:pPr>
        <w:pStyle w:val="ListParagraph"/>
        <w:numPr>
          <w:ilvl w:val="0"/>
          <w:numId w:val="1"/>
        </w:numPr>
      </w:pPr>
      <w:r>
        <w:lastRenderedPageBreak/>
        <w:t>Your facility has identified that Zosyn is being overprescribed as empiric therapy for community-acquired pneumonia in the Adult Medical Ward. Your stewardship team would like to track their progress using the NHSN SAAR report. Which one of the 3 SAAR categories will they look to decrease?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3169"/>
        <w:gridCol w:w="3163"/>
      </w:tblGrid>
      <w:tr w:rsidR="006E52A9" w14:paraId="0797C48F" w14:textId="77777777" w:rsidTr="006E52A9">
        <w:tc>
          <w:tcPr>
            <w:tcW w:w="3192" w:type="dxa"/>
          </w:tcPr>
          <w:p w14:paraId="701DB33F" w14:textId="7ED19494" w:rsidR="006E52A9" w:rsidRPr="006E52A9" w:rsidRDefault="006E52A9" w:rsidP="006E52A9">
            <w:pPr>
              <w:rPr>
                <w:b/>
                <w:bCs/>
              </w:rPr>
            </w:pPr>
            <w:r w:rsidRPr="006E52A9">
              <w:rPr>
                <w:b/>
                <w:bCs/>
              </w:rPr>
              <w:t>Broad-spectrum antibacterial agents predominantly used for community-acquired infections (BSCA), which groups the following antibiotics:</w:t>
            </w:r>
          </w:p>
          <w:p w14:paraId="48D38994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Cefaclor</w:t>
            </w:r>
          </w:p>
          <w:p w14:paraId="03A9F14B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Cefdinir</w:t>
            </w:r>
          </w:p>
          <w:p w14:paraId="2F8478E1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Cefixime</w:t>
            </w:r>
          </w:p>
          <w:p w14:paraId="5EF39A20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Cefotaxime</w:t>
            </w:r>
          </w:p>
          <w:p w14:paraId="2F608DA7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Cefpodoxime</w:t>
            </w:r>
          </w:p>
          <w:p w14:paraId="3CED0FB6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Cefprozil</w:t>
            </w:r>
            <w:proofErr w:type="spellEnd"/>
          </w:p>
          <w:p w14:paraId="4EF1880D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Ceftriaxone</w:t>
            </w:r>
          </w:p>
          <w:p w14:paraId="620BD63E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Cefuroxime</w:t>
            </w:r>
          </w:p>
          <w:p w14:paraId="3F2488C0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Ciprofloxacin</w:t>
            </w:r>
          </w:p>
          <w:p w14:paraId="2ED71493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Ertapenem</w:t>
            </w:r>
          </w:p>
          <w:p w14:paraId="211C9604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Gemifloxacin</w:t>
            </w:r>
          </w:p>
          <w:p w14:paraId="2B5726F9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Levofloxacin</w:t>
            </w:r>
          </w:p>
          <w:p w14:paraId="7BEFC6BC" w14:textId="5AE5857F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 xml:space="preserve">Moxifloxacin </w:t>
            </w:r>
          </w:p>
        </w:tc>
        <w:tc>
          <w:tcPr>
            <w:tcW w:w="3192" w:type="dxa"/>
          </w:tcPr>
          <w:p w14:paraId="205485F7" w14:textId="77777777" w:rsidR="006E52A9" w:rsidRPr="006E52A9" w:rsidRDefault="006E52A9" w:rsidP="006E52A9">
            <w:pPr>
              <w:rPr>
                <w:b/>
                <w:bCs/>
              </w:rPr>
            </w:pPr>
            <w:r w:rsidRPr="006E52A9">
              <w:rPr>
                <w:b/>
                <w:bCs/>
              </w:rPr>
              <w:t>Broad-spectrum antibacterial agents predominantly used for hospital-onset infections (BSHO), which groups the following antibiotics:</w:t>
            </w:r>
          </w:p>
          <w:p w14:paraId="52FC56F9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Amikacin (IV only)</w:t>
            </w:r>
          </w:p>
          <w:p w14:paraId="5E79F8EB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Aztreonam (IV only)</w:t>
            </w:r>
          </w:p>
          <w:p w14:paraId="244ACACC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Cefepime</w:t>
            </w:r>
          </w:p>
          <w:p w14:paraId="6A9EA814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Ceftazidime</w:t>
            </w:r>
          </w:p>
          <w:p w14:paraId="51A80973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Doripenem</w:t>
            </w:r>
            <w:proofErr w:type="spellEnd"/>
          </w:p>
          <w:p w14:paraId="0654A8EF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Gentamicin (IV only)</w:t>
            </w:r>
          </w:p>
          <w:p w14:paraId="0A778054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Meropenem</w:t>
            </w:r>
          </w:p>
          <w:p w14:paraId="0B131488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Piperacillin/tazobactam</w:t>
            </w:r>
          </w:p>
          <w:p w14:paraId="38A8199A" w14:textId="2F7A1ADA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Tobramycin (IV only)</w:t>
            </w:r>
          </w:p>
        </w:tc>
        <w:tc>
          <w:tcPr>
            <w:tcW w:w="3192" w:type="dxa"/>
          </w:tcPr>
          <w:p w14:paraId="575CB4B5" w14:textId="4213708C" w:rsidR="006E52A9" w:rsidRPr="006E52A9" w:rsidRDefault="006E52A9" w:rsidP="006E52A9">
            <w:pPr>
              <w:rPr>
                <w:b/>
                <w:bCs/>
              </w:rPr>
            </w:pPr>
            <w:r w:rsidRPr="006E52A9">
              <w:rPr>
                <w:b/>
                <w:bCs/>
              </w:rPr>
              <w:t>Narrow-spectrum beta-lactam agent (NSBL), which groups the following antibiotics:</w:t>
            </w:r>
          </w:p>
          <w:p w14:paraId="19158196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Amoxicillin</w:t>
            </w:r>
          </w:p>
          <w:p w14:paraId="1FB8AC9A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Amoxicillin/clavulanate</w:t>
            </w:r>
          </w:p>
          <w:p w14:paraId="4C05910E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Ampicillin</w:t>
            </w:r>
          </w:p>
          <w:p w14:paraId="53A5E868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Ampicillin/sulbactam</w:t>
            </w:r>
          </w:p>
          <w:p w14:paraId="4AF8ABF0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Cefadroxil</w:t>
            </w:r>
          </w:p>
          <w:p w14:paraId="6E9A9252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Cefazolin</w:t>
            </w:r>
          </w:p>
          <w:p w14:paraId="7CB1F1BA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Cefotetan</w:t>
            </w:r>
          </w:p>
          <w:p w14:paraId="7FECC770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Cefoxitin</w:t>
            </w:r>
          </w:p>
          <w:p w14:paraId="24C4EDFF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Cephalexin</w:t>
            </w:r>
          </w:p>
          <w:p w14:paraId="5884C12E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Dicloxacillin</w:t>
            </w:r>
          </w:p>
          <w:p w14:paraId="7DF92113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Nafcillin</w:t>
            </w:r>
          </w:p>
          <w:p w14:paraId="613BE214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Oxacillin</w:t>
            </w:r>
          </w:p>
          <w:p w14:paraId="5A764EF5" w14:textId="77777777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Penicillin G</w:t>
            </w:r>
          </w:p>
          <w:p w14:paraId="23EAF3CD" w14:textId="039AA8E6" w:rsidR="006E52A9" w:rsidRDefault="006E52A9" w:rsidP="006E52A9">
            <w:pPr>
              <w:pStyle w:val="ListParagraph"/>
              <w:numPr>
                <w:ilvl w:val="0"/>
                <w:numId w:val="4"/>
              </w:numPr>
            </w:pPr>
            <w:r>
              <w:t>Penicillin V</w:t>
            </w:r>
          </w:p>
        </w:tc>
      </w:tr>
    </w:tbl>
    <w:p w14:paraId="5CD68820" w14:textId="77777777" w:rsidR="006E52A9" w:rsidRDefault="006E52A9" w:rsidP="006E52A9"/>
    <w:sectPr w:rsidR="006E5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01B"/>
    <w:multiLevelType w:val="hybridMultilevel"/>
    <w:tmpl w:val="0A024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12A4"/>
    <w:multiLevelType w:val="hybridMultilevel"/>
    <w:tmpl w:val="32065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5BCD"/>
    <w:multiLevelType w:val="hybridMultilevel"/>
    <w:tmpl w:val="9EB0583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C0719"/>
    <w:multiLevelType w:val="hybridMultilevel"/>
    <w:tmpl w:val="B97C5890"/>
    <w:lvl w:ilvl="0" w:tplc="21DAEA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90554">
    <w:abstractNumId w:val="0"/>
  </w:num>
  <w:num w:numId="2" w16cid:durableId="1247494393">
    <w:abstractNumId w:val="2"/>
  </w:num>
  <w:num w:numId="3" w16cid:durableId="1235235039">
    <w:abstractNumId w:val="1"/>
  </w:num>
  <w:num w:numId="4" w16cid:durableId="839976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C4"/>
    <w:rsid w:val="00017002"/>
    <w:rsid w:val="00317D7B"/>
    <w:rsid w:val="00604C3A"/>
    <w:rsid w:val="006D3843"/>
    <w:rsid w:val="006E52A9"/>
    <w:rsid w:val="008850CC"/>
    <w:rsid w:val="00BA040D"/>
    <w:rsid w:val="00D36EC4"/>
    <w:rsid w:val="00D63F73"/>
    <w:rsid w:val="00DA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DF55"/>
  <w15:chartTrackingRefBased/>
  <w15:docId w15:val="{D13EE327-BCAF-458F-8560-DE7CE687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EC4"/>
    <w:pPr>
      <w:ind w:left="720"/>
      <w:contextualSpacing/>
    </w:pPr>
  </w:style>
  <w:style w:type="table" w:styleId="TableGrid">
    <w:name w:val="Table Grid"/>
    <w:basedOn w:val="TableNormal"/>
    <w:uiPriority w:val="39"/>
    <w:rsid w:val="006E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Washington State Department of Health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Zering, Jessica L (DOH)</dc:creator>
  <cp:keywords/>
  <dc:description/>
  <cp:lastModifiedBy>Zering, Jessica L (DOH)</cp:lastModifiedBy>
  <cp:revision>1</cp:revision>
  <dcterms:created xsi:type="dcterms:W3CDTF">2023-05-03T18:43:00Z</dcterms:created>
  <dcterms:modified xsi:type="dcterms:W3CDTF">2023-05-03T20:10:00Z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2023-05-03T20:10:10Z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64bc4c42-aefd-49de-96e8-49108308f73c</vt:lpwstr>
  </property>
  <property fmtid="{D5CDD505-2E9C-101B-9397-08002B2CF9AE}" pid="8" name="MSIP_Label_1520fa42-cf58-4c22-8b93-58cf1d3bd1cb_ContentBits">
    <vt:lpwstr>0</vt:lpwstr>
  </property>
</Properties>
</file>