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4E684" w14:textId="5F188155" w:rsidR="455CF0BE" w:rsidRDefault="455CF0BE" w:rsidP="455CF0BE">
      <w:pPr>
        <w:spacing w:after="200" w:line="276" w:lineRule="auto"/>
        <w:jc w:val="center"/>
        <w:rPr>
          <w:rFonts w:ascii="Calibri" w:eastAsia="Calibri" w:hAnsi="Calibri" w:cs="Calibri"/>
        </w:rPr>
      </w:pPr>
      <w:bookmarkStart w:id="0" w:name="_GoBack"/>
      <w:bookmarkEnd w:id="0"/>
      <w:r>
        <w:rPr>
          <w:noProof/>
        </w:rPr>
        <w:drawing>
          <wp:inline distT="0" distB="0" distL="0" distR="0" wp14:anchorId="62E9442B" wp14:editId="32D0FED1">
            <wp:extent cx="314325" cy="314325"/>
            <wp:effectExtent l="0" t="0" r="0" b="0"/>
            <wp:docPr id="1459950389" name="Picture 1459950389" title="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r>
        <w:rPr>
          <w:noProof/>
        </w:rPr>
        <w:drawing>
          <wp:inline distT="0" distB="0" distL="0" distR="0" wp14:anchorId="36396CC7" wp14:editId="72D72AD8">
            <wp:extent cx="3562350" cy="1047750"/>
            <wp:effectExtent l="0" t="0" r="0" b="0"/>
            <wp:docPr id="1804722265" name="Picture 180472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62350" cy="1047750"/>
                    </a:xfrm>
                    <a:prstGeom prst="rect">
                      <a:avLst/>
                    </a:prstGeom>
                  </pic:spPr>
                </pic:pic>
              </a:graphicData>
            </a:graphic>
          </wp:inline>
        </w:drawing>
      </w:r>
    </w:p>
    <w:p w14:paraId="60223EFE" w14:textId="2301B42A" w:rsidR="455CF0BE" w:rsidRDefault="57051335" w:rsidP="455CF0BE">
      <w:pPr>
        <w:spacing w:after="200" w:line="276" w:lineRule="auto"/>
        <w:rPr>
          <w:rFonts w:ascii="Calibri" w:eastAsia="Calibri" w:hAnsi="Calibri" w:cs="Calibri"/>
          <w:sz w:val="28"/>
          <w:szCs w:val="28"/>
        </w:rPr>
      </w:pPr>
      <w:r w:rsidRPr="57051335">
        <w:rPr>
          <w:rFonts w:ascii="Calibri" w:eastAsia="Calibri" w:hAnsi="Calibri" w:cs="Calibri"/>
          <w:b/>
          <w:bCs/>
          <w:sz w:val="28"/>
          <w:szCs w:val="28"/>
        </w:rPr>
        <w:t>Session Summary</w:t>
      </w:r>
    </w:p>
    <w:p w14:paraId="26B30A2A" w14:textId="252B6D15" w:rsidR="455CF0BE" w:rsidRDefault="57051335" w:rsidP="455CF0BE">
      <w:pPr>
        <w:spacing w:after="200" w:line="276" w:lineRule="auto"/>
        <w:rPr>
          <w:rFonts w:ascii="Calibri" w:eastAsia="Calibri" w:hAnsi="Calibri" w:cs="Calibri"/>
          <w:sz w:val="28"/>
          <w:szCs w:val="28"/>
        </w:rPr>
      </w:pPr>
      <w:r w:rsidRPr="57051335">
        <w:rPr>
          <w:rFonts w:ascii="Calibri" w:eastAsia="Calibri" w:hAnsi="Calibri" w:cs="Calibri"/>
          <w:sz w:val="28"/>
          <w:szCs w:val="28"/>
        </w:rPr>
        <w:t>April 2nd, 2019</w:t>
      </w:r>
    </w:p>
    <w:p w14:paraId="72C0E971" w14:textId="5EB6A21E" w:rsidR="455CF0BE" w:rsidRDefault="57051335" w:rsidP="455CF0BE">
      <w:pPr>
        <w:spacing w:after="200" w:line="276" w:lineRule="auto"/>
        <w:rPr>
          <w:rFonts w:ascii="Calibri" w:eastAsia="Calibri" w:hAnsi="Calibri" w:cs="Calibri"/>
          <w:sz w:val="24"/>
          <w:szCs w:val="24"/>
        </w:rPr>
      </w:pPr>
      <w:r w:rsidRPr="57051335">
        <w:rPr>
          <w:rFonts w:ascii="Calibri" w:eastAsia="Calibri" w:hAnsi="Calibri" w:cs="Calibri"/>
          <w:b/>
          <w:bCs/>
          <w:sz w:val="24"/>
          <w:szCs w:val="24"/>
        </w:rPr>
        <w:t>Didactic:</w:t>
      </w:r>
      <w:r w:rsidRPr="57051335">
        <w:rPr>
          <w:rFonts w:ascii="Calibri" w:eastAsia="Calibri" w:hAnsi="Calibri" w:cs="Calibri"/>
          <w:sz w:val="24"/>
          <w:szCs w:val="24"/>
        </w:rPr>
        <w:t xml:space="preserve"> Diagnostic Stewardship: Movement in UTI</w:t>
      </w:r>
    </w:p>
    <w:p w14:paraId="50769222" w14:textId="2F2F70DE" w:rsidR="455CF0BE" w:rsidRDefault="57051335" w:rsidP="455CF0BE">
      <w:pPr>
        <w:spacing w:after="200" w:line="276" w:lineRule="auto"/>
        <w:rPr>
          <w:rFonts w:ascii="Calibri" w:eastAsia="Calibri" w:hAnsi="Calibri" w:cs="Calibri"/>
          <w:sz w:val="24"/>
          <w:szCs w:val="24"/>
        </w:rPr>
      </w:pPr>
      <w:r w:rsidRPr="57051335">
        <w:rPr>
          <w:rFonts w:ascii="Calibri" w:eastAsia="Calibri" w:hAnsi="Calibri" w:cs="Calibri"/>
          <w:b/>
          <w:bCs/>
          <w:sz w:val="24"/>
          <w:szCs w:val="24"/>
        </w:rPr>
        <w:t>Speaker:</w:t>
      </w:r>
      <w:r w:rsidRPr="57051335">
        <w:rPr>
          <w:rFonts w:ascii="Calibri" w:eastAsia="Calibri" w:hAnsi="Calibri" w:cs="Calibri"/>
          <w:sz w:val="24"/>
          <w:szCs w:val="24"/>
        </w:rPr>
        <w:t xml:space="preserve"> John Lynch, MD, MPH</w:t>
      </w:r>
    </w:p>
    <w:p w14:paraId="6A2A9D4B" w14:textId="49234B85" w:rsidR="455CF0BE" w:rsidRDefault="57051335" w:rsidP="455CF0BE">
      <w:pPr>
        <w:spacing w:after="200" w:line="276" w:lineRule="auto"/>
        <w:rPr>
          <w:rFonts w:ascii="Calibri" w:eastAsia="Calibri" w:hAnsi="Calibri" w:cs="Calibri"/>
          <w:sz w:val="24"/>
          <w:szCs w:val="24"/>
        </w:rPr>
      </w:pPr>
      <w:r w:rsidRPr="57051335">
        <w:rPr>
          <w:rFonts w:ascii="Calibri" w:eastAsia="Calibri" w:hAnsi="Calibri" w:cs="Calibri"/>
          <w:b/>
          <w:bCs/>
          <w:sz w:val="24"/>
          <w:szCs w:val="24"/>
        </w:rPr>
        <w:t>Key Points:</w:t>
      </w:r>
    </w:p>
    <w:p w14:paraId="0374587E" w14:textId="1300BB3A" w:rsidR="455CF0BE" w:rsidRDefault="57051335" w:rsidP="455CF0BE">
      <w:pPr>
        <w:pStyle w:val="ListParagraph"/>
        <w:numPr>
          <w:ilvl w:val="0"/>
          <w:numId w:val="2"/>
        </w:numPr>
        <w:spacing w:after="200" w:line="276" w:lineRule="auto"/>
        <w:rPr>
          <w:sz w:val="24"/>
          <w:szCs w:val="24"/>
        </w:rPr>
      </w:pPr>
      <w:r w:rsidRPr="57051335">
        <w:rPr>
          <w:rFonts w:ascii="Calibri" w:eastAsia="Calibri" w:hAnsi="Calibri" w:cs="Calibri"/>
          <w:sz w:val="24"/>
          <w:szCs w:val="24"/>
        </w:rPr>
        <w:t>Urinary tract infections are common</w:t>
      </w:r>
    </w:p>
    <w:p w14:paraId="1F510261" w14:textId="35E0B30B" w:rsidR="455CF0BE" w:rsidRDefault="57051335" w:rsidP="455CF0BE">
      <w:pPr>
        <w:pStyle w:val="ListParagraph"/>
        <w:numPr>
          <w:ilvl w:val="0"/>
          <w:numId w:val="2"/>
        </w:numPr>
        <w:spacing w:after="200" w:line="276" w:lineRule="auto"/>
        <w:rPr>
          <w:sz w:val="24"/>
          <w:szCs w:val="24"/>
        </w:rPr>
      </w:pPr>
      <w:r w:rsidRPr="57051335">
        <w:rPr>
          <w:rFonts w:ascii="Calibri" w:eastAsia="Calibri" w:hAnsi="Calibri" w:cs="Calibri"/>
          <w:sz w:val="24"/>
          <w:szCs w:val="24"/>
        </w:rPr>
        <w:t>Asymptomatic bacteriuria (ASB) is also common, especially in older adults and people with urinary catheters</w:t>
      </w:r>
    </w:p>
    <w:p w14:paraId="2CA85F26" w14:textId="2CF694C9" w:rsidR="455CF0BE" w:rsidRDefault="57051335" w:rsidP="455CF0BE">
      <w:pPr>
        <w:pStyle w:val="ListParagraph"/>
        <w:numPr>
          <w:ilvl w:val="0"/>
          <w:numId w:val="2"/>
        </w:numPr>
        <w:spacing w:after="200" w:line="276" w:lineRule="auto"/>
        <w:rPr>
          <w:sz w:val="24"/>
          <w:szCs w:val="24"/>
        </w:rPr>
      </w:pPr>
      <w:r w:rsidRPr="57051335">
        <w:rPr>
          <w:rFonts w:ascii="Calibri" w:eastAsia="Calibri" w:hAnsi="Calibri" w:cs="Calibri"/>
          <w:sz w:val="24"/>
          <w:szCs w:val="24"/>
        </w:rPr>
        <w:t>As a result, a positive urinalysis and urine culture ≠ UTI</w:t>
      </w:r>
    </w:p>
    <w:p w14:paraId="6C6BC22C" w14:textId="314BFD62" w:rsidR="455CF0BE" w:rsidRDefault="57051335" w:rsidP="455CF0BE">
      <w:pPr>
        <w:spacing w:after="200" w:line="276" w:lineRule="auto"/>
        <w:rPr>
          <w:rFonts w:ascii="Calibri" w:eastAsia="Calibri" w:hAnsi="Calibri" w:cs="Calibri"/>
          <w:b/>
          <w:bCs/>
          <w:sz w:val="24"/>
          <w:szCs w:val="24"/>
        </w:rPr>
      </w:pPr>
      <w:r w:rsidRPr="57051335">
        <w:rPr>
          <w:rFonts w:ascii="Calibri" w:eastAsia="Calibri" w:hAnsi="Calibri" w:cs="Calibri"/>
          <w:b/>
          <w:bCs/>
          <w:sz w:val="24"/>
          <w:szCs w:val="24"/>
        </w:rPr>
        <w:t>Opportunities for AS intervention in the path of urine testing:</w:t>
      </w:r>
    </w:p>
    <w:p w14:paraId="143D0F23" w14:textId="0857B786" w:rsidR="455CF0BE" w:rsidRDefault="455CF0BE" w:rsidP="455CF0BE">
      <w:pPr>
        <w:spacing w:after="200" w:line="276" w:lineRule="auto"/>
        <w:jc w:val="center"/>
        <w:rPr>
          <w:rFonts w:ascii="Calibri" w:eastAsia="Calibri" w:hAnsi="Calibri" w:cs="Calibri"/>
          <w:sz w:val="24"/>
          <w:szCs w:val="24"/>
        </w:rPr>
      </w:pPr>
      <w:r>
        <w:rPr>
          <w:noProof/>
        </w:rPr>
        <w:drawing>
          <wp:inline distT="0" distB="0" distL="0" distR="0" wp14:anchorId="643A661C" wp14:editId="637F7DFD">
            <wp:extent cx="4572000" cy="1790700"/>
            <wp:effectExtent l="0" t="0" r="0" b="0"/>
            <wp:docPr id="134092640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1790700"/>
                    </a:xfrm>
                    <a:prstGeom prst="rect">
                      <a:avLst/>
                    </a:prstGeom>
                  </pic:spPr>
                </pic:pic>
              </a:graphicData>
            </a:graphic>
          </wp:inline>
        </w:drawing>
      </w:r>
    </w:p>
    <w:p w14:paraId="3D4EE316" w14:textId="3934FC48" w:rsidR="455CF0BE" w:rsidRDefault="57051335" w:rsidP="455CF0BE">
      <w:pPr>
        <w:spacing w:after="200" w:line="276" w:lineRule="auto"/>
        <w:rPr>
          <w:rFonts w:ascii="Calibri" w:eastAsia="Calibri" w:hAnsi="Calibri" w:cs="Calibri"/>
          <w:sz w:val="24"/>
          <w:szCs w:val="24"/>
        </w:rPr>
      </w:pPr>
      <w:r w:rsidRPr="57051335">
        <w:rPr>
          <w:rFonts w:ascii="Calibri" w:eastAsia="Calibri" w:hAnsi="Calibri" w:cs="Calibri"/>
          <w:sz w:val="24"/>
          <w:szCs w:val="24"/>
        </w:rPr>
        <w:t>All urine testing should be done based on the clinical context, but when to test is often unclear for clinicians. In a survey of residents in an academic training program in Korea, ~70% of individuals decided to treat scenario patients with ASB. This lack of understanding translated into action, with many patients with ASB receiving antibiotics on the wards that the residents worked on.</w:t>
      </w:r>
    </w:p>
    <w:p w14:paraId="71B6C217" w14:textId="0FE1FF67" w:rsidR="0198F3FD" w:rsidRDefault="0198F3FD" w:rsidP="0198F3FD">
      <w:pPr>
        <w:spacing w:after="200" w:line="276" w:lineRule="auto"/>
        <w:rPr>
          <w:rFonts w:ascii="Calibri" w:eastAsia="Calibri" w:hAnsi="Calibri" w:cs="Calibri"/>
          <w:sz w:val="24"/>
          <w:szCs w:val="24"/>
        </w:rPr>
      </w:pPr>
      <w:r w:rsidRPr="0198F3FD">
        <w:rPr>
          <w:rFonts w:ascii="Calibri" w:eastAsia="Calibri" w:hAnsi="Calibri" w:cs="Calibri"/>
          <w:sz w:val="24"/>
          <w:szCs w:val="24"/>
        </w:rPr>
        <w:t xml:space="preserve">Available studies show that a negative UA (dipstick or other, defined as no LE or nitrites) has excellent negative predictive for a negative culture. In one study of elderly inpatients, a negative UA could have eliminated ~40% of urine cultures. Given the delay in waiting for culture results, this intervention could impact time on empiric antibiotics. The converse case, a positive UA, is not a strong predictor for positive urine cultures. These data are important when thinking about reflex culture programs – if a negative UA predicts a negative culture, those patients shouldn’t be on antibiotics regardless (caution in neutropenia). </w:t>
      </w:r>
    </w:p>
    <w:p w14:paraId="546406D0" w14:textId="0289776A" w:rsidR="455CF0BE" w:rsidRDefault="57051335" w:rsidP="455CF0BE">
      <w:pPr>
        <w:spacing w:after="200" w:line="276" w:lineRule="auto"/>
        <w:rPr>
          <w:rFonts w:ascii="Calibri" w:eastAsia="Calibri" w:hAnsi="Calibri" w:cs="Calibri"/>
          <w:sz w:val="24"/>
          <w:szCs w:val="24"/>
        </w:rPr>
      </w:pPr>
      <w:r w:rsidRPr="57051335">
        <w:rPr>
          <w:rFonts w:ascii="Calibri" w:eastAsia="Calibri" w:hAnsi="Calibri" w:cs="Calibri"/>
          <w:sz w:val="24"/>
          <w:szCs w:val="24"/>
        </w:rPr>
        <w:t xml:space="preserve">Similar to above, if a urine culture is sent, the results should be followed up. In a study in pediatric patients treated for UTI in the ED, ~50% of patients had a negative culture. Two important points: the patient doesn’t </w:t>
      </w:r>
      <w:r w:rsidRPr="57051335">
        <w:rPr>
          <w:rFonts w:ascii="Calibri" w:eastAsia="Calibri" w:hAnsi="Calibri" w:cs="Calibri"/>
          <w:sz w:val="24"/>
          <w:szCs w:val="24"/>
        </w:rPr>
        <w:lastRenderedPageBreak/>
        <w:t xml:space="preserve">have a UTI, so antibiotics should be stopped, and UTI may have been a “false diagnostic anchor” that means the real reason for coming to the ED may still be unaddressed. </w:t>
      </w:r>
    </w:p>
    <w:p w14:paraId="6C5C77E3" w14:textId="312D98D1" w:rsidR="455CF0BE" w:rsidRDefault="57051335" w:rsidP="455CF0BE">
      <w:pPr>
        <w:spacing w:after="200" w:line="276" w:lineRule="auto"/>
        <w:rPr>
          <w:rFonts w:ascii="Calibri" w:eastAsia="Calibri" w:hAnsi="Calibri" w:cs="Calibri"/>
          <w:sz w:val="24"/>
          <w:szCs w:val="24"/>
        </w:rPr>
      </w:pPr>
      <w:r w:rsidRPr="57051335">
        <w:rPr>
          <w:rFonts w:ascii="Calibri" w:eastAsia="Calibri" w:hAnsi="Calibri" w:cs="Calibri"/>
          <w:sz w:val="24"/>
          <w:szCs w:val="24"/>
        </w:rPr>
        <w:t xml:space="preserve">On the cutting edge, one center decided to suppress culture results for inpatients without urinary catheters. The microbiology lab processed the specimens, but providers had to call the lab to get the results. This intervention led to a decrease of 87% in utilized cultures and a 75% decrease in ABS treatment in the study population. </w:t>
      </w:r>
    </w:p>
    <w:p w14:paraId="579E84F9" w14:textId="7F4C1566" w:rsidR="455CF0BE" w:rsidRDefault="57051335" w:rsidP="455CF0BE">
      <w:pPr>
        <w:spacing w:after="200" w:line="276" w:lineRule="auto"/>
        <w:rPr>
          <w:rFonts w:ascii="Calibri" w:eastAsia="Calibri" w:hAnsi="Calibri" w:cs="Calibri"/>
          <w:sz w:val="24"/>
          <w:szCs w:val="24"/>
        </w:rPr>
      </w:pPr>
      <w:r w:rsidRPr="57051335">
        <w:rPr>
          <w:rFonts w:ascii="Calibri" w:eastAsia="Calibri" w:hAnsi="Calibri" w:cs="Calibri"/>
          <w:sz w:val="24"/>
          <w:szCs w:val="24"/>
        </w:rPr>
        <w:t xml:space="preserve">Take-away: There are laboratory diagnostic interventions that can positively impact the diagnosis and mis-diagnosis of UTI. Lowest hanging fruit is likely provider education, but AS teams should consider how UAs and urine cultures are being used and how the data are being used. </w:t>
      </w:r>
    </w:p>
    <w:p w14:paraId="47532C55" w14:textId="630E9C40" w:rsidR="455CF0BE" w:rsidRDefault="455CF0BE" w:rsidP="455CF0BE">
      <w:pPr>
        <w:spacing w:after="200" w:line="276" w:lineRule="auto"/>
        <w:rPr>
          <w:rFonts w:ascii="Calibri" w:eastAsia="Calibri" w:hAnsi="Calibri" w:cs="Calibri"/>
          <w:sz w:val="24"/>
          <w:szCs w:val="24"/>
        </w:rPr>
      </w:pPr>
    </w:p>
    <w:p w14:paraId="09380183" w14:textId="302406AA" w:rsidR="455CF0BE" w:rsidRDefault="455CF0BE" w:rsidP="455CF0BE">
      <w:pPr>
        <w:spacing w:after="200" w:line="276" w:lineRule="auto"/>
        <w:rPr>
          <w:rFonts w:ascii="Calibri" w:eastAsia="Calibri" w:hAnsi="Calibri" w:cs="Calibri"/>
          <w:sz w:val="24"/>
          <w:szCs w:val="24"/>
        </w:rPr>
      </w:pPr>
    </w:p>
    <w:p w14:paraId="7FD06E29" w14:textId="35CCBA43" w:rsidR="455CF0BE" w:rsidRDefault="455CF0BE" w:rsidP="455CF0BE">
      <w:pPr>
        <w:spacing w:after="200" w:line="276" w:lineRule="auto"/>
        <w:rPr>
          <w:rFonts w:ascii="Calibri" w:eastAsia="Calibri" w:hAnsi="Calibri" w:cs="Calibri"/>
          <w:sz w:val="24"/>
          <w:szCs w:val="24"/>
        </w:rPr>
      </w:pPr>
    </w:p>
    <w:p w14:paraId="2D6DDC8F" w14:textId="3F24E68E" w:rsidR="455CF0BE" w:rsidRDefault="455CF0BE" w:rsidP="455CF0BE">
      <w:pPr>
        <w:spacing w:after="200" w:line="276" w:lineRule="auto"/>
        <w:rPr>
          <w:rFonts w:ascii="Calibri" w:eastAsia="Calibri" w:hAnsi="Calibri" w:cs="Calibri"/>
        </w:rPr>
      </w:pPr>
      <w:r>
        <w:br w:type="page"/>
      </w:r>
    </w:p>
    <w:p w14:paraId="5C3F4A74" w14:textId="0DC301EB" w:rsidR="455CF0BE" w:rsidRDefault="455CF0BE" w:rsidP="455CF0BE">
      <w:pPr>
        <w:spacing w:after="200" w:line="276" w:lineRule="auto"/>
        <w:rPr>
          <w:rFonts w:ascii="Calibri" w:eastAsia="Calibri" w:hAnsi="Calibri" w:cs="Calibri"/>
          <w:sz w:val="24"/>
          <w:szCs w:val="24"/>
        </w:rPr>
      </w:pPr>
      <w:r w:rsidRPr="455CF0BE">
        <w:rPr>
          <w:rFonts w:ascii="Calibri" w:eastAsia="Calibri" w:hAnsi="Calibri" w:cs="Calibri"/>
          <w:b/>
          <w:bCs/>
          <w:sz w:val="24"/>
          <w:szCs w:val="24"/>
        </w:rPr>
        <w:lastRenderedPageBreak/>
        <w:t>Case Discussions:</w:t>
      </w:r>
    </w:p>
    <w:p w14:paraId="31E29E24" w14:textId="23E9B5C7" w:rsidR="455CF0BE" w:rsidRDefault="57051335" w:rsidP="455CF0BE">
      <w:pPr>
        <w:spacing w:after="200" w:line="276" w:lineRule="auto"/>
        <w:rPr>
          <w:rFonts w:ascii="Calibri" w:eastAsia="Calibri" w:hAnsi="Calibri" w:cs="Calibri"/>
          <w:sz w:val="24"/>
          <w:szCs w:val="24"/>
        </w:rPr>
      </w:pPr>
      <w:r w:rsidRPr="57051335">
        <w:rPr>
          <w:rFonts w:ascii="Calibri" w:eastAsia="Calibri" w:hAnsi="Calibri" w:cs="Calibri"/>
          <w:sz w:val="24"/>
          <w:szCs w:val="24"/>
        </w:rPr>
        <w:t>80 year-old man found with persistent MRSA bacteremia x 6 days in setting of DVT but no evidence of endocarditis. Vancomycin MIC 1-2 by broth microdilution. Received 6 weeks of IV vancomycin for complicated MRSA bacteremia (followed by doxycycline). Experienced recurrence of MRSA bacteremia 4 months later (again, vanco MIC 1-2), now found with L spine osteomyelitis and received daptomycin.</w:t>
      </w:r>
    </w:p>
    <w:p w14:paraId="7FE45F74" w14:textId="32267ED8" w:rsidR="455CF0BE" w:rsidRDefault="57051335" w:rsidP="57051335">
      <w:pPr>
        <w:spacing w:after="200" w:line="276" w:lineRule="auto"/>
        <w:rPr>
          <w:rFonts w:ascii="Calibri" w:eastAsia="Calibri" w:hAnsi="Calibri" w:cs="Calibri"/>
          <w:b/>
          <w:bCs/>
          <w:sz w:val="24"/>
          <w:szCs w:val="24"/>
        </w:rPr>
      </w:pPr>
      <w:r w:rsidRPr="57051335">
        <w:rPr>
          <w:rFonts w:ascii="Calibri" w:eastAsia="Calibri" w:hAnsi="Calibri" w:cs="Calibri"/>
          <w:b/>
          <w:bCs/>
          <w:sz w:val="24"/>
          <w:szCs w:val="24"/>
        </w:rPr>
        <w:t>1) What is the significance of a vancomycin MIC of 2 for MRSA bacteremia?</w:t>
      </w:r>
    </w:p>
    <w:p w14:paraId="718FBBB7" w14:textId="645B2024" w:rsidR="455CF0BE" w:rsidRDefault="5BC37B01" w:rsidP="5BC37B01">
      <w:pPr>
        <w:spacing w:after="200" w:line="276" w:lineRule="auto"/>
        <w:rPr>
          <w:rFonts w:ascii="Calibri" w:eastAsia="Calibri" w:hAnsi="Calibri" w:cs="Calibri"/>
          <w:sz w:val="24"/>
          <w:szCs w:val="24"/>
          <w:vertAlign w:val="superscript"/>
        </w:rPr>
      </w:pPr>
      <w:r w:rsidRPr="5BC37B01">
        <w:rPr>
          <w:rFonts w:ascii="Calibri" w:eastAsia="Calibri" w:hAnsi="Calibri" w:cs="Calibri"/>
          <w:sz w:val="24"/>
          <w:szCs w:val="24"/>
        </w:rPr>
        <w:t>In a patient who is clinically improving, we do not recommend making a treatment change based on a vanco MIC value of 2 alone, due to the limitations of this testing modality and data showing no increased mortality in patients with MRSA bacteremia and vanco MIC of 1.5 or 2</w:t>
      </w:r>
      <w:r w:rsidRPr="5BC37B01">
        <w:rPr>
          <w:rFonts w:ascii="Calibri" w:eastAsia="Calibri" w:hAnsi="Calibri" w:cs="Calibri"/>
          <w:sz w:val="24"/>
          <w:szCs w:val="24"/>
          <w:vertAlign w:val="superscript"/>
        </w:rPr>
        <w:t>9</w:t>
      </w:r>
      <w:r w:rsidRPr="5BC37B01">
        <w:rPr>
          <w:rFonts w:ascii="Calibri" w:eastAsia="Calibri" w:hAnsi="Calibri" w:cs="Calibri"/>
          <w:sz w:val="24"/>
          <w:szCs w:val="24"/>
        </w:rPr>
        <w:t>. And though 5 days of bacteremia makes us nervous about the possibility of treatment failure (and lack of source control), MRSA bacteremia has been shown to persist on average 8 days in studies of bacteremia with and without endocarditis</w:t>
      </w:r>
      <w:r w:rsidRPr="5BC37B01">
        <w:rPr>
          <w:rFonts w:ascii="Calibri" w:eastAsia="Calibri" w:hAnsi="Calibri" w:cs="Calibri"/>
          <w:sz w:val="24"/>
          <w:szCs w:val="24"/>
          <w:vertAlign w:val="superscript"/>
        </w:rPr>
        <w:t>10</w:t>
      </w:r>
      <w:r w:rsidRPr="5BC37B01">
        <w:rPr>
          <w:rFonts w:ascii="Calibri" w:eastAsia="Calibri" w:hAnsi="Calibri" w:cs="Calibri"/>
          <w:sz w:val="24"/>
          <w:szCs w:val="24"/>
        </w:rPr>
        <w:t xml:space="preserve">, and therefore may not necessitate the need for a treatment change. </w:t>
      </w:r>
    </w:p>
    <w:p w14:paraId="437A44E9" w14:textId="6EFE81F8" w:rsidR="455CF0BE" w:rsidRDefault="57051335" w:rsidP="455CF0BE">
      <w:pPr>
        <w:spacing w:after="40" w:line="276" w:lineRule="auto"/>
        <w:rPr>
          <w:rFonts w:ascii="Calibri" w:eastAsia="Calibri" w:hAnsi="Calibri" w:cs="Calibri"/>
          <w:b/>
          <w:bCs/>
          <w:sz w:val="24"/>
          <w:szCs w:val="24"/>
        </w:rPr>
      </w:pPr>
      <w:r w:rsidRPr="57051335">
        <w:rPr>
          <w:rFonts w:ascii="Calibri" w:eastAsia="Calibri" w:hAnsi="Calibri" w:cs="Calibri"/>
          <w:b/>
          <w:bCs/>
          <w:sz w:val="24"/>
          <w:szCs w:val="24"/>
        </w:rPr>
        <w:t xml:space="preserve">2) What makes MRSA bacteremia uncomplicated and therefore amenable to 2 weeks of treatment? </w:t>
      </w:r>
    </w:p>
    <w:p w14:paraId="214EB2F4" w14:textId="6DFF4D80" w:rsidR="455CF0BE" w:rsidRDefault="57051335" w:rsidP="57051335">
      <w:pPr>
        <w:spacing w:after="40" w:line="276" w:lineRule="auto"/>
        <w:rPr>
          <w:rFonts w:ascii="Calibri" w:eastAsia="Calibri" w:hAnsi="Calibri" w:cs="Calibri"/>
          <w:sz w:val="24"/>
          <w:szCs w:val="24"/>
        </w:rPr>
      </w:pPr>
      <w:r w:rsidRPr="57051335">
        <w:rPr>
          <w:rFonts w:ascii="Calibri" w:eastAsia="Calibri" w:hAnsi="Calibri" w:cs="Calibri"/>
          <w:sz w:val="24"/>
          <w:szCs w:val="24"/>
        </w:rPr>
        <w:t>Uncomplicated MRSA bacteremia meets the following criteria</w:t>
      </w:r>
      <w:r w:rsidRPr="57051335">
        <w:rPr>
          <w:rFonts w:ascii="Calibri" w:eastAsia="Calibri" w:hAnsi="Calibri" w:cs="Calibri"/>
          <w:sz w:val="24"/>
          <w:szCs w:val="24"/>
          <w:vertAlign w:val="superscript"/>
        </w:rPr>
        <w:t>11</w:t>
      </w:r>
      <w:r w:rsidRPr="57051335">
        <w:rPr>
          <w:rFonts w:ascii="Calibri" w:eastAsia="Calibri" w:hAnsi="Calibri" w:cs="Calibri"/>
          <w:sz w:val="24"/>
          <w:szCs w:val="24"/>
        </w:rPr>
        <w:t>:</w:t>
      </w:r>
    </w:p>
    <w:p w14:paraId="04F10DA6" w14:textId="44901941" w:rsidR="455CF0BE" w:rsidRDefault="57051335" w:rsidP="455CF0BE">
      <w:pPr>
        <w:spacing w:after="40" w:line="276" w:lineRule="auto"/>
        <w:rPr>
          <w:sz w:val="24"/>
          <w:szCs w:val="24"/>
        </w:rPr>
      </w:pPr>
      <w:r w:rsidRPr="57051335">
        <w:rPr>
          <w:sz w:val="24"/>
          <w:szCs w:val="24"/>
        </w:rPr>
        <w:t>-exclusion of endocarditis</w:t>
      </w:r>
    </w:p>
    <w:p w14:paraId="2E512444" w14:textId="4431906F" w:rsidR="455CF0BE" w:rsidRDefault="57051335" w:rsidP="455CF0BE">
      <w:pPr>
        <w:spacing w:after="40" w:line="276" w:lineRule="auto"/>
        <w:rPr>
          <w:sz w:val="24"/>
          <w:szCs w:val="24"/>
        </w:rPr>
      </w:pPr>
      <w:r w:rsidRPr="57051335">
        <w:rPr>
          <w:sz w:val="24"/>
          <w:szCs w:val="24"/>
        </w:rPr>
        <w:t xml:space="preserve">-no implanted prostheses </w:t>
      </w:r>
    </w:p>
    <w:p w14:paraId="39B46A87" w14:textId="01D93CFD" w:rsidR="455CF0BE" w:rsidRDefault="57051335" w:rsidP="455CF0BE">
      <w:pPr>
        <w:spacing w:after="40" w:line="276" w:lineRule="auto"/>
        <w:rPr>
          <w:sz w:val="24"/>
          <w:szCs w:val="24"/>
        </w:rPr>
      </w:pPr>
      <w:r w:rsidRPr="57051335">
        <w:rPr>
          <w:sz w:val="24"/>
          <w:szCs w:val="24"/>
        </w:rPr>
        <w:t>-follow-up blood cultures performed on specimens obtained 2–4 days after the initial set that do not grow MRSA</w:t>
      </w:r>
    </w:p>
    <w:p w14:paraId="1AAF1465" w14:textId="6C76B145" w:rsidR="455CF0BE" w:rsidRDefault="57051335" w:rsidP="455CF0BE">
      <w:pPr>
        <w:spacing w:after="40" w:line="276" w:lineRule="auto"/>
        <w:rPr>
          <w:sz w:val="24"/>
          <w:szCs w:val="24"/>
        </w:rPr>
      </w:pPr>
      <w:r w:rsidRPr="57051335">
        <w:rPr>
          <w:sz w:val="24"/>
          <w:szCs w:val="24"/>
        </w:rPr>
        <w:t>-defervescence within 72 h of initiating effective therapy</w:t>
      </w:r>
    </w:p>
    <w:p w14:paraId="30389F70" w14:textId="6C92575B" w:rsidR="455CF0BE" w:rsidRDefault="57051335" w:rsidP="57051335">
      <w:pPr>
        <w:spacing w:after="40" w:line="276" w:lineRule="auto"/>
        <w:rPr>
          <w:sz w:val="24"/>
          <w:szCs w:val="24"/>
        </w:rPr>
      </w:pPr>
      <w:r w:rsidRPr="57051335">
        <w:rPr>
          <w:sz w:val="24"/>
          <w:szCs w:val="24"/>
        </w:rPr>
        <w:t>-no evidence of metastatic sites of infection</w:t>
      </w:r>
    </w:p>
    <w:p w14:paraId="5F9B5CDD" w14:textId="01AD9D07" w:rsidR="57051335" w:rsidRDefault="57051335" w:rsidP="57051335">
      <w:pPr>
        <w:spacing w:after="40" w:line="276" w:lineRule="auto"/>
        <w:rPr>
          <w:sz w:val="24"/>
          <w:szCs w:val="24"/>
        </w:rPr>
      </w:pPr>
    </w:p>
    <w:p w14:paraId="1B684B51" w14:textId="21CD2C3D" w:rsidR="455CF0BE" w:rsidRDefault="30E17847" w:rsidP="30E17847">
      <w:pPr>
        <w:spacing w:after="200" w:line="276" w:lineRule="auto"/>
        <w:rPr>
          <w:rFonts w:ascii="Calibri" w:eastAsia="Calibri" w:hAnsi="Calibri" w:cs="Calibri"/>
          <w:b/>
          <w:bCs/>
          <w:sz w:val="24"/>
          <w:szCs w:val="24"/>
        </w:rPr>
      </w:pPr>
      <w:r w:rsidRPr="30E17847">
        <w:rPr>
          <w:rFonts w:ascii="Calibri" w:eastAsia="Calibri" w:hAnsi="Calibri" w:cs="Calibri"/>
          <w:b/>
          <w:bCs/>
          <w:sz w:val="24"/>
          <w:szCs w:val="24"/>
        </w:rPr>
        <w:t>3) In hospitals without ready access to ID consults for Staph aureus bacteremia, what is the process?</w:t>
      </w:r>
    </w:p>
    <w:p w14:paraId="24BF1532" w14:textId="4133BFBD" w:rsidR="455CF0BE" w:rsidRDefault="57051335" w:rsidP="455CF0BE">
      <w:pPr>
        <w:spacing w:after="200" w:line="276" w:lineRule="auto"/>
        <w:rPr>
          <w:rFonts w:ascii="Calibri" w:eastAsia="Calibri" w:hAnsi="Calibri" w:cs="Calibri"/>
          <w:sz w:val="24"/>
          <w:szCs w:val="24"/>
        </w:rPr>
      </w:pPr>
      <w:r w:rsidRPr="57051335">
        <w:rPr>
          <w:rFonts w:ascii="Calibri" w:eastAsia="Calibri" w:hAnsi="Calibri" w:cs="Calibri"/>
          <w:sz w:val="24"/>
          <w:szCs w:val="24"/>
        </w:rPr>
        <w:t xml:space="preserve">-For complicated </w:t>
      </w:r>
      <w:r w:rsidRPr="57051335">
        <w:rPr>
          <w:rFonts w:ascii="Calibri" w:eastAsia="Calibri" w:hAnsi="Calibri" w:cs="Calibri"/>
          <w:i/>
          <w:iCs/>
          <w:sz w:val="24"/>
          <w:szCs w:val="24"/>
        </w:rPr>
        <w:t xml:space="preserve">Staph aureus </w:t>
      </w:r>
      <w:r w:rsidRPr="57051335">
        <w:rPr>
          <w:rFonts w:ascii="Calibri" w:eastAsia="Calibri" w:hAnsi="Calibri" w:cs="Calibri"/>
          <w:sz w:val="24"/>
          <w:szCs w:val="24"/>
        </w:rPr>
        <w:t xml:space="preserve">bacteremia, some have access to ID consult recommendations from ID teams in Spokane and either transfer inpatients or receive recommendations and arrange for early outpatient ID follow-up. </w:t>
      </w:r>
    </w:p>
    <w:p w14:paraId="64E6B68D" w14:textId="1D76D5F2" w:rsidR="455CF0BE" w:rsidRDefault="57051335" w:rsidP="455CF0BE">
      <w:pPr>
        <w:spacing w:after="200" w:line="276" w:lineRule="auto"/>
        <w:rPr>
          <w:rFonts w:ascii="Calibri" w:eastAsia="Calibri" w:hAnsi="Calibri" w:cs="Calibri"/>
          <w:sz w:val="24"/>
          <w:szCs w:val="24"/>
        </w:rPr>
      </w:pPr>
      <w:r w:rsidRPr="57051335">
        <w:rPr>
          <w:rFonts w:ascii="Calibri" w:eastAsia="Calibri" w:hAnsi="Calibri" w:cs="Calibri"/>
          <w:b/>
          <w:bCs/>
          <w:sz w:val="24"/>
          <w:szCs w:val="24"/>
        </w:rPr>
        <w:t>Thanks! The UW TASP Team</w:t>
      </w:r>
    </w:p>
    <w:p w14:paraId="25411B49" w14:textId="1C74004A" w:rsidR="455CF0BE" w:rsidRDefault="455CF0BE" w:rsidP="455CF0BE">
      <w:pPr>
        <w:spacing w:after="200" w:line="276" w:lineRule="auto"/>
        <w:rPr>
          <w:rFonts w:ascii="Calibri" w:eastAsia="Calibri" w:hAnsi="Calibri" w:cs="Calibri"/>
          <w:sz w:val="24"/>
          <w:szCs w:val="24"/>
        </w:rPr>
      </w:pPr>
    </w:p>
    <w:p w14:paraId="12985D04" w14:textId="2D58AD99" w:rsidR="455CF0BE" w:rsidRDefault="57051335" w:rsidP="455CF0BE">
      <w:pPr>
        <w:spacing w:after="200" w:line="276" w:lineRule="auto"/>
        <w:rPr>
          <w:rFonts w:ascii="Calibri" w:eastAsia="Calibri" w:hAnsi="Calibri" w:cs="Calibri"/>
          <w:sz w:val="24"/>
          <w:szCs w:val="24"/>
        </w:rPr>
      </w:pPr>
      <w:r w:rsidRPr="57051335">
        <w:rPr>
          <w:rFonts w:ascii="Calibri" w:eastAsia="Calibri" w:hAnsi="Calibri" w:cs="Calibri"/>
          <w:b/>
          <w:bCs/>
          <w:sz w:val="24"/>
          <w:szCs w:val="24"/>
        </w:rPr>
        <w:t>References:</w:t>
      </w:r>
    </w:p>
    <w:p w14:paraId="375FF932" w14:textId="60708CA5" w:rsidR="455CF0BE" w:rsidRDefault="57051335" w:rsidP="57051335">
      <w:pPr>
        <w:pStyle w:val="ListParagraph"/>
        <w:numPr>
          <w:ilvl w:val="0"/>
          <w:numId w:val="1"/>
        </w:numPr>
        <w:spacing w:after="200" w:line="276" w:lineRule="auto"/>
        <w:rPr>
          <w:sz w:val="24"/>
          <w:szCs w:val="24"/>
        </w:rPr>
      </w:pPr>
      <w:r w:rsidRPr="57051335">
        <w:rPr>
          <w:rFonts w:ascii="Calibri" w:eastAsia="Calibri" w:hAnsi="Calibri" w:cs="Calibri"/>
          <w:sz w:val="24"/>
          <w:szCs w:val="24"/>
        </w:rPr>
        <w:t xml:space="preserve">Humphries, R. M. &amp; Dien Bard, J. Point-Counterpoint: Reflex Cultures Reduce Laboratory Workload and Improve Antimicrobial Stewardship in Patients Suspected of Having Urinary Tract Infections. </w:t>
      </w:r>
      <w:r w:rsidRPr="57051335">
        <w:rPr>
          <w:rFonts w:ascii="Calibri" w:eastAsia="Calibri" w:hAnsi="Calibri" w:cs="Calibri"/>
          <w:i/>
          <w:iCs/>
          <w:sz w:val="24"/>
          <w:szCs w:val="24"/>
        </w:rPr>
        <w:t>J. Clin. Microbiol.</w:t>
      </w:r>
      <w:r w:rsidRPr="57051335">
        <w:rPr>
          <w:rFonts w:ascii="Calibri" w:eastAsia="Calibri" w:hAnsi="Calibri" w:cs="Calibri"/>
          <w:sz w:val="24"/>
          <w:szCs w:val="24"/>
        </w:rPr>
        <w:t xml:space="preserve"> </w:t>
      </w:r>
      <w:r w:rsidRPr="57051335">
        <w:rPr>
          <w:rFonts w:ascii="Calibri" w:eastAsia="Calibri" w:hAnsi="Calibri" w:cs="Calibri"/>
          <w:b/>
          <w:bCs/>
          <w:sz w:val="24"/>
          <w:szCs w:val="24"/>
        </w:rPr>
        <w:t>54</w:t>
      </w:r>
      <w:r w:rsidRPr="57051335">
        <w:rPr>
          <w:rFonts w:ascii="Calibri" w:eastAsia="Calibri" w:hAnsi="Calibri" w:cs="Calibri"/>
          <w:sz w:val="24"/>
          <w:szCs w:val="24"/>
        </w:rPr>
        <w:t>, 254–258 (2016).</w:t>
      </w:r>
    </w:p>
    <w:p w14:paraId="5E6F05D1" w14:textId="7C77D45D" w:rsidR="455CF0BE" w:rsidRDefault="57051335" w:rsidP="455CF0BE">
      <w:pPr>
        <w:pStyle w:val="ListParagraph"/>
        <w:numPr>
          <w:ilvl w:val="0"/>
          <w:numId w:val="1"/>
        </w:numPr>
        <w:spacing w:after="200" w:line="276" w:lineRule="auto"/>
        <w:rPr>
          <w:sz w:val="24"/>
          <w:szCs w:val="24"/>
        </w:rPr>
      </w:pPr>
      <w:r w:rsidRPr="57051335">
        <w:rPr>
          <w:rFonts w:ascii="Calibri" w:eastAsia="Calibri" w:hAnsi="Calibri" w:cs="Calibri"/>
          <w:sz w:val="24"/>
          <w:szCs w:val="24"/>
        </w:rPr>
        <w:t xml:space="preserve">Watson, J. R., Sánchez, P. J., Spencer, J. D., Cohen, D. M. &amp; Hains, D. S. Urinary Tract Infection and Antimicrobial Stewardship in the Emergency Department. </w:t>
      </w:r>
      <w:r w:rsidRPr="57051335">
        <w:rPr>
          <w:rFonts w:ascii="Calibri" w:eastAsia="Calibri" w:hAnsi="Calibri" w:cs="Calibri"/>
          <w:i/>
          <w:iCs/>
          <w:sz w:val="24"/>
          <w:szCs w:val="24"/>
        </w:rPr>
        <w:t>Pediatr. Emerg. Care</w:t>
      </w:r>
      <w:r w:rsidRPr="57051335">
        <w:rPr>
          <w:rFonts w:ascii="Calibri" w:eastAsia="Calibri" w:hAnsi="Calibri" w:cs="Calibri"/>
          <w:sz w:val="24"/>
          <w:szCs w:val="24"/>
        </w:rPr>
        <w:t xml:space="preserve"> </w:t>
      </w:r>
      <w:r w:rsidRPr="57051335">
        <w:rPr>
          <w:rFonts w:ascii="Calibri" w:eastAsia="Calibri" w:hAnsi="Calibri" w:cs="Calibri"/>
          <w:b/>
          <w:bCs/>
          <w:sz w:val="24"/>
          <w:szCs w:val="24"/>
        </w:rPr>
        <w:t>34</w:t>
      </w:r>
      <w:r w:rsidRPr="57051335">
        <w:rPr>
          <w:rFonts w:ascii="Calibri" w:eastAsia="Calibri" w:hAnsi="Calibri" w:cs="Calibri"/>
          <w:sz w:val="24"/>
          <w:szCs w:val="24"/>
        </w:rPr>
        <w:t>, 93–95 (2018).</w:t>
      </w:r>
    </w:p>
    <w:p w14:paraId="12D28DD2" w14:textId="3172A065" w:rsidR="455CF0BE" w:rsidRDefault="57051335" w:rsidP="455CF0BE">
      <w:pPr>
        <w:pStyle w:val="ListParagraph"/>
        <w:numPr>
          <w:ilvl w:val="0"/>
          <w:numId w:val="1"/>
        </w:numPr>
        <w:spacing w:after="200" w:line="276" w:lineRule="auto"/>
        <w:rPr>
          <w:sz w:val="24"/>
          <w:szCs w:val="24"/>
        </w:rPr>
      </w:pPr>
      <w:r w:rsidRPr="57051335">
        <w:rPr>
          <w:rFonts w:ascii="Calibri" w:eastAsia="Calibri" w:hAnsi="Calibri" w:cs="Calibri"/>
          <w:sz w:val="24"/>
          <w:szCs w:val="24"/>
        </w:rPr>
        <w:t xml:space="preserve">Lee, M. J. </w:t>
      </w:r>
      <w:r w:rsidRPr="57051335">
        <w:rPr>
          <w:rFonts w:ascii="Calibri" w:eastAsia="Calibri" w:hAnsi="Calibri" w:cs="Calibri"/>
          <w:i/>
          <w:iCs/>
          <w:sz w:val="24"/>
          <w:szCs w:val="24"/>
        </w:rPr>
        <w:t>et al.</w:t>
      </w:r>
      <w:r w:rsidRPr="57051335">
        <w:rPr>
          <w:rFonts w:ascii="Calibri" w:eastAsia="Calibri" w:hAnsi="Calibri" w:cs="Calibri"/>
          <w:sz w:val="24"/>
          <w:szCs w:val="24"/>
        </w:rPr>
        <w:t xml:space="preserve"> Why is asymptomatic bacteriuria overtreated?: A tertiary care institutional survey of resident physicians. </w:t>
      </w:r>
      <w:r w:rsidRPr="57051335">
        <w:rPr>
          <w:rFonts w:ascii="Calibri" w:eastAsia="Calibri" w:hAnsi="Calibri" w:cs="Calibri"/>
          <w:i/>
          <w:iCs/>
          <w:sz w:val="24"/>
          <w:szCs w:val="24"/>
        </w:rPr>
        <w:t>BMC Infect. Dis.</w:t>
      </w:r>
      <w:r w:rsidRPr="57051335">
        <w:rPr>
          <w:rFonts w:ascii="Calibri" w:eastAsia="Calibri" w:hAnsi="Calibri" w:cs="Calibri"/>
          <w:sz w:val="24"/>
          <w:szCs w:val="24"/>
        </w:rPr>
        <w:t xml:space="preserve"> </w:t>
      </w:r>
      <w:r w:rsidRPr="57051335">
        <w:rPr>
          <w:rFonts w:ascii="Calibri" w:eastAsia="Calibri" w:hAnsi="Calibri" w:cs="Calibri"/>
          <w:b/>
          <w:bCs/>
          <w:sz w:val="24"/>
          <w:szCs w:val="24"/>
        </w:rPr>
        <w:t>15</w:t>
      </w:r>
      <w:r w:rsidRPr="57051335">
        <w:rPr>
          <w:rFonts w:ascii="Calibri" w:eastAsia="Calibri" w:hAnsi="Calibri" w:cs="Calibri"/>
          <w:sz w:val="24"/>
          <w:szCs w:val="24"/>
        </w:rPr>
        <w:t>, 289 (2015).</w:t>
      </w:r>
    </w:p>
    <w:p w14:paraId="0F47A7A0" w14:textId="71524E78" w:rsidR="455CF0BE" w:rsidRDefault="57051335" w:rsidP="455CF0BE">
      <w:pPr>
        <w:pStyle w:val="ListParagraph"/>
        <w:numPr>
          <w:ilvl w:val="0"/>
          <w:numId w:val="1"/>
        </w:numPr>
        <w:spacing w:after="200" w:line="276" w:lineRule="auto"/>
        <w:rPr>
          <w:sz w:val="24"/>
          <w:szCs w:val="24"/>
        </w:rPr>
      </w:pPr>
      <w:r w:rsidRPr="57051335">
        <w:rPr>
          <w:rFonts w:ascii="Calibri" w:eastAsia="Calibri" w:hAnsi="Calibri" w:cs="Calibri"/>
          <w:sz w:val="24"/>
          <w:szCs w:val="24"/>
        </w:rPr>
        <w:lastRenderedPageBreak/>
        <w:t xml:space="preserve">Shimoni, Z., Hermush, V., Glick, J. &amp; Froom, P. No need for a urine culture in elderly hospitalized patients with a negative dipstick test result. </w:t>
      </w:r>
      <w:r w:rsidRPr="57051335">
        <w:rPr>
          <w:rFonts w:ascii="Calibri" w:eastAsia="Calibri" w:hAnsi="Calibri" w:cs="Calibri"/>
          <w:i/>
          <w:iCs/>
          <w:sz w:val="24"/>
          <w:szCs w:val="24"/>
        </w:rPr>
        <w:t>Eur. J. Clin. Microbiol. Infect. Dis.</w:t>
      </w:r>
      <w:r w:rsidRPr="57051335">
        <w:rPr>
          <w:rFonts w:ascii="Calibri" w:eastAsia="Calibri" w:hAnsi="Calibri" w:cs="Calibri"/>
          <w:sz w:val="24"/>
          <w:szCs w:val="24"/>
        </w:rPr>
        <w:t xml:space="preserve"> </w:t>
      </w:r>
      <w:r w:rsidRPr="57051335">
        <w:rPr>
          <w:rFonts w:ascii="Calibri" w:eastAsia="Calibri" w:hAnsi="Calibri" w:cs="Calibri"/>
          <w:b/>
          <w:bCs/>
          <w:sz w:val="24"/>
          <w:szCs w:val="24"/>
        </w:rPr>
        <w:t>37</w:t>
      </w:r>
      <w:r w:rsidRPr="57051335">
        <w:rPr>
          <w:rFonts w:ascii="Calibri" w:eastAsia="Calibri" w:hAnsi="Calibri" w:cs="Calibri"/>
          <w:sz w:val="24"/>
          <w:szCs w:val="24"/>
        </w:rPr>
        <w:t>, 1459–1464 (2018).</w:t>
      </w:r>
    </w:p>
    <w:p w14:paraId="0A5DC273" w14:textId="3FC1C700" w:rsidR="455CF0BE" w:rsidRDefault="57051335" w:rsidP="455CF0BE">
      <w:pPr>
        <w:pStyle w:val="ListParagraph"/>
        <w:numPr>
          <w:ilvl w:val="0"/>
          <w:numId w:val="1"/>
        </w:numPr>
        <w:spacing w:after="200" w:line="276" w:lineRule="auto"/>
        <w:rPr>
          <w:sz w:val="24"/>
          <w:szCs w:val="24"/>
        </w:rPr>
      </w:pPr>
      <w:r w:rsidRPr="57051335">
        <w:rPr>
          <w:rFonts w:ascii="Calibri" w:eastAsia="Calibri" w:hAnsi="Calibri" w:cs="Calibri"/>
          <w:sz w:val="24"/>
          <w:szCs w:val="24"/>
        </w:rPr>
        <w:t xml:space="preserve">Leis, J. A. </w:t>
      </w:r>
      <w:r w:rsidRPr="57051335">
        <w:rPr>
          <w:rFonts w:ascii="Calibri" w:eastAsia="Calibri" w:hAnsi="Calibri" w:cs="Calibri"/>
          <w:i/>
          <w:iCs/>
          <w:sz w:val="24"/>
          <w:szCs w:val="24"/>
        </w:rPr>
        <w:t>et al.</w:t>
      </w:r>
      <w:r w:rsidRPr="57051335">
        <w:rPr>
          <w:rFonts w:ascii="Calibri" w:eastAsia="Calibri" w:hAnsi="Calibri" w:cs="Calibri"/>
          <w:sz w:val="24"/>
          <w:szCs w:val="24"/>
        </w:rPr>
        <w:t xml:space="preserve"> Reducing antimicrobial therapy for asymptomatic bacteriuria among noncatheterized inpatients: a proof-of-concept study. </w:t>
      </w:r>
      <w:r w:rsidRPr="57051335">
        <w:rPr>
          <w:rFonts w:ascii="Calibri" w:eastAsia="Calibri" w:hAnsi="Calibri" w:cs="Calibri"/>
          <w:i/>
          <w:iCs/>
          <w:sz w:val="24"/>
          <w:szCs w:val="24"/>
        </w:rPr>
        <w:t>Clin. Infect. Dis.</w:t>
      </w:r>
      <w:r w:rsidRPr="57051335">
        <w:rPr>
          <w:rFonts w:ascii="Calibri" w:eastAsia="Calibri" w:hAnsi="Calibri" w:cs="Calibri"/>
          <w:sz w:val="24"/>
          <w:szCs w:val="24"/>
        </w:rPr>
        <w:t xml:space="preserve"> </w:t>
      </w:r>
      <w:r w:rsidRPr="57051335">
        <w:rPr>
          <w:rFonts w:ascii="Calibri" w:eastAsia="Calibri" w:hAnsi="Calibri" w:cs="Calibri"/>
          <w:b/>
          <w:bCs/>
          <w:sz w:val="24"/>
          <w:szCs w:val="24"/>
        </w:rPr>
        <w:t>58</w:t>
      </w:r>
      <w:r w:rsidRPr="57051335">
        <w:rPr>
          <w:rFonts w:ascii="Calibri" w:eastAsia="Calibri" w:hAnsi="Calibri" w:cs="Calibri"/>
          <w:sz w:val="24"/>
          <w:szCs w:val="24"/>
        </w:rPr>
        <w:t>, 980–983 (2014).</w:t>
      </w:r>
    </w:p>
    <w:p w14:paraId="02B7E4FC" w14:textId="0E4362D9" w:rsidR="455CF0BE" w:rsidRDefault="5BC37B01" w:rsidP="5BC37B01">
      <w:pPr>
        <w:pStyle w:val="ListParagraph"/>
        <w:numPr>
          <w:ilvl w:val="0"/>
          <w:numId w:val="1"/>
        </w:numPr>
        <w:spacing w:after="200" w:line="276" w:lineRule="auto"/>
        <w:rPr>
          <w:sz w:val="24"/>
          <w:szCs w:val="24"/>
        </w:rPr>
      </w:pPr>
      <w:r w:rsidRPr="5BC37B01">
        <w:rPr>
          <w:rFonts w:ascii="Calibri" w:eastAsia="Calibri" w:hAnsi="Calibri" w:cs="Calibri"/>
          <w:sz w:val="24"/>
          <w:szCs w:val="24"/>
        </w:rPr>
        <w:t xml:space="preserve">Nicolle, L. E. </w:t>
      </w:r>
      <w:r w:rsidRPr="5BC37B01">
        <w:rPr>
          <w:rFonts w:ascii="Calibri" w:eastAsia="Calibri" w:hAnsi="Calibri" w:cs="Calibri"/>
          <w:i/>
          <w:iCs/>
          <w:sz w:val="24"/>
          <w:szCs w:val="24"/>
        </w:rPr>
        <w:t>et al.</w:t>
      </w:r>
      <w:r w:rsidRPr="5BC37B01">
        <w:rPr>
          <w:rFonts w:ascii="Calibri" w:eastAsia="Calibri" w:hAnsi="Calibri" w:cs="Calibri"/>
          <w:sz w:val="24"/>
          <w:szCs w:val="24"/>
        </w:rPr>
        <w:t xml:space="preserve"> Clinical Practice Guideline for the Management of Asymptomatic Bacteriuria: 2019 Update by the Infectious Diseases Society of America. </w:t>
      </w:r>
      <w:r w:rsidRPr="5BC37B01">
        <w:rPr>
          <w:rFonts w:ascii="Calibri" w:eastAsia="Calibri" w:hAnsi="Calibri" w:cs="Calibri"/>
          <w:i/>
          <w:iCs/>
          <w:sz w:val="24"/>
          <w:szCs w:val="24"/>
        </w:rPr>
        <w:t>Clin. Infect. Dis.</w:t>
      </w:r>
      <w:r w:rsidRPr="5BC37B01">
        <w:rPr>
          <w:rFonts w:ascii="Calibri" w:eastAsia="Calibri" w:hAnsi="Calibri" w:cs="Calibri"/>
          <w:sz w:val="24"/>
          <w:szCs w:val="24"/>
        </w:rPr>
        <w:t xml:space="preserve"> (2019). doi:10.1093/cid/ciy1121</w:t>
      </w:r>
    </w:p>
    <w:p w14:paraId="113A5A18" w14:textId="414A3F0E" w:rsidR="455CF0BE" w:rsidRDefault="57051335" w:rsidP="455CF0BE">
      <w:pPr>
        <w:pStyle w:val="ListParagraph"/>
        <w:numPr>
          <w:ilvl w:val="0"/>
          <w:numId w:val="1"/>
        </w:numPr>
        <w:spacing w:after="200" w:line="276" w:lineRule="auto"/>
        <w:rPr>
          <w:sz w:val="24"/>
          <w:szCs w:val="24"/>
        </w:rPr>
      </w:pPr>
      <w:r w:rsidRPr="57051335">
        <w:rPr>
          <w:rFonts w:ascii="Calibri" w:eastAsia="Calibri" w:hAnsi="Calibri" w:cs="Calibri"/>
          <w:sz w:val="24"/>
          <w:szCs w:val="24"/>
        </w:rPr>
        <w:t xml:space="preserve">Morgan, D. J., Malani, P. &amp; Diekema, D. J. Diagnostic Stewardship-Leveraging the Laboratory to Improve Antimicrobial Use. </w:t>
      </w:r>
      <w:r w:rsidRPr="57051335">
        <w:rPr>
          <w:rFonts w:ascii="Calibri" w:eastAsia="Calibri" w:hAnsi="Calibri" w:cs="Calibri"/>
          <w:i/>
          <w:iCs/>
          <w:sz w:val="24"/>
          <w:szCs w:val="24"/>
        </w:rPr>
        <w:t>JAMA</w:t>
      </w:r>
      <w:r w:rsidRPr="57051335">
        <w:rPr>
          <w:rFonts w:ascii="Calibri" w:eastAsia="Calibri" w:hAnsi="Calibri" w:cs="Calibri"/>
          <w:sz w:val="24"/>
          <w:szCs w:val="24"/>
        </w:rPr>
        <w:t xml:space="preserve"> </w:t>
      </w:r>
      <w:r w:rsidRPr="57051335">
        <w:rPr>
          <w:rFonts w:ascii="Calibri" w:eastAsia="Calibri" w:hAnsi="Calibri" w:cs="Calibri"/>
          <w:b/>
          <w:bCs/>
          <w:sz w:val="24"/>
          <w:szCs w:val="24"/>
        </w:rPr>
        <w:t>318</w:t>
      </w:r>
      <w:r w:rsidRPr="57051335">
        <w:rPr>
          <w:rFonts w:ascii="Calibri" w:eastAsia="Calibri" w:hAnsi="Calibri" w:cs="Calibri"/>
          <w:sz w:val="24"/>
          <w:szCs w:val="24"/>
        </w:rPr>
        <w:t>, 607–608 (2017).</w:t>
      </w:r>
    </w:p>
    <w:p w14:paraId="13D0C9EF" w14:textId="4CD71FEC" w:rsidR="455CF0BE" w:rsidRDefault="57051335" w:rsidP="57051335">
      <w:pPr>
        <w:pStyle w:val="ListParagraph"/>
        <w:numPr>
          <w:ilvl w:val="0"/>
          <w:numId w:val="1"/>
        </w:numPr>
        <w:spacing w:after="200" w:line="276" w:lineRule="auto"/>
        <w:rPr>
          <w:sz w:val="24"/>
          <w:szCs w:val="24"/>
        </w:rPr>
      </w:pPr>
      <w:r w:rsidRPr="57051335">
        <w:rPr>
          <w:rFonts w:ascii="Calibri" w:eastAsia="Calibri" w:hAnsi="Calibri" w:cs="Calibri"/>
          <w:sz w:val="24"/>
          <w:szCs w:val="24"/>
        </w:rPr>
        <w:t xml:space="preserve">Power, M., Fell, G. &amp; Wright, M. Principles for high-quality, high-value testing. </w:t>
      </w:r>
      <w:r w:rsidRPr="57051335">
        <w:rPr>
          <w:rFonts w:ascii="Calibri" w:eastAsia="Calibri" w:hAnsi="Calibri" w:cs="Calibri"/>
          <w:i/>
          <w:iCs/>
          <w:sz w:val="24"/>
          <w:szCs w:val="24"/>
        </w:rPr>
        <w:t>Evid. Based. Med.</w:t>
      </w:r>
      <w:r w:rsidRPr="57051335">
        <w:rPr>
          <w:rFonts w:ascii="Calibri" w:eastAsia="Calibri" w:hAnsi="Calibri" w:cs="Calibri"/>
          <w:sz w:val="24"/>
          <w:szCs w:val="24"/>
        </w:rPr>
        <w:t xml:space="preserve"> </w:t>
      </w:r>
      <w:r w:rsidRPr="57051335">
        <w:rPr>
          <w:rFonts w:ascii="Calibri" w:eastAsia="Calibri" w:hAnsi="Calibri" w:cs="Calibri"/>
          <w:b/>
          <w:bCs/>
          <w:sz w:val="24"/>
          <w:szCs w:val="24"/>
        </w:rPr>
        <w:t>18</w:t>
      </w:r>
      <w:r w:rsidRPr="57051335">
        <w:rPr>
          <w:rFonts w:ascii="Calibri" w:eastAsia="Calibri" w:hAnsi="Calibri" w:cs="Calibri"/>
          <w:sz w:val="24"/>
          <w:szCs w:val="24"/>
        </w:rPr>
        <w:t>, 5–10 (2013).</w:t>
      </w:r>
    </w:p>
    <w:p w14:paraId="6F6AE72A" w14:textId="4E6F0C7C" w:rsidR="57051335" w:rsidRDefault="57051335" w:rsidP="57051335">
      <w:pPr>
        <w:pStyle w:val="ListParagraph"/>
        <w:numPr>
          <w:ilvl w:val="0"/>
          <w:numId w:val="1"/>
        </w:numPr>
        <w:spacing w:after="200" w:line="276" w:lineRule="auto"/>
        <w:rPr>
          <w:sz w:val="24"/>
          <w:szCs w:val="24"/>
        </w:rPr>
      </w:pPr>
      <w:r w:rsidRPr="57051335">
        <w:rPr>
          <w:rFonts w:ascii="Calibri" w:eastAsia="Calibri" w:hAnsi="Calibri" w:cs="Calibri"/>
          <w:sz w:val="24"/>
          <w:szCs w:val="24"/>
        </w:rPr>
        <w:t>Kalil AC, Van Schooneveld TC, Fey PD, Rupp ME. Association between vancomycin minimum inhibitory concentration and mortality among patients with Staphylococcus aureus bloodstream infections: a systematic review and meta-analysis. JAMA. 2014 Oct 15;312(15):1552-64.</w:t>
      </w:r>
    </w:p>
    <w:p w14:paraId="0A0C4615" w14:textId="7639841B" w:rsidR="57051335" w:rsidRDefault="57051335" w:rsidP="57051335">
      <w:pPr>
        <w:pStyle w:val="ListParagraph"/>
        <w:numPr>
          <w:ilvl w:val="0"/>
          <w:numId w:val="1"/>
        </w:numPr>
        <w:spacing w:after="200" w:line="276" w:lineRule="auto"/>
        <w:rPr>
          <w:sz w:val="24"/>
          <w:szCs w:val="24"/>
        </w:rPr>
      </w:pPr>
      <w:r w:rsidRPr="57051335">
        <w:rPr>
          <w:rFonts w:ascii="Calibri" w:eastAsia="Calibri" w:hAnsi="Calibri" w:cs="Calibri"/>
          <w:sz w:val="24"/>
          <w:szCs w:val="24"/>
        </w:rPr>
        <w:t xml:space="preserve">Fowler Jr VG, </w:t>
      </w:r>
      <w:r w:rsidRPr="57051335">
        <w:rPr>
          <w:rFonts w:ascii="Calibri" w:eastAsia="Calibri" w:hAnsi="Calibri" w:cs="Calibri"/>
          <w:i/>
          <w:iCs/>
          <w:sz w:val="24"/>
          <w:szCs w:val="24"/>
        </w:rPr>
        <w:t>et al</w:t>
      </w:r>
      <w:r w:rsidRPr="57051335">
        <w:rPr>
          <w:rFonts w:ascii="Calibri" w:eastAsia="Calibri" w:hAnsi="Calibri" w:cs="Calibri"/>
          <w:sz w:val="24"/>
          <w:szCs w:val="24"/>
        </w:rPr>
        <w:t>. Daptomycin versus standard therapy for bacteremia and endocarditis caused by Staphylococcus aureus. New England Journal of Medicine. 2006 Aug 17;355(7):653-65.</w:t>
      </w:r>
    </w:p>
    <w:p w14:paraId="7631071A" w14:textId="1C7609C0" w:rsidR="455CF0BE" w:rsidRDefault="57051335" w:rsidP="57051335">
      <w:pPr>
        <w:pStyle w:val="ListParagraph"/>
        <w:numPr>
          <w:ilvl w:val="0"/>
          <w:numId w:val="1"/>
        </w:numPr>
        <w:spacing w:after="200" w:line="276" w:lineRule="auto"/>
        <w:rPr>
          <w:sz w:val="24"/>
          <w:szCs w:val="24"/>
        </w:rPr>
      </w:pPr>
      <w:r w:rsidRPr="57051335">
        <w:rPr>
          <w:rFonts w:eastAsiaTheme="minorEastAsia"/>
          <w:color w:val="222222"/>
          <w:sz w:val="24"/>
          <w:szCs w:val="24"/>
        </w:rPr>
        <w:t xml:space="preserve">Liu C, </w:t>
      </w:r>
      <w:r w:rsidRPr="57051335">
        <w:rPr>
          <w:rFonts w:eastAsiaTheme="minorEastAsia"/>
          <w:i/>
          <w:iCs/>
          <w:color w:val="222222"/>
          <w:sz w:val="24"/>
          <w:szCs w:val="24"/>
        </w:rPr>
        <w:t>et al</w:t>
      </w:r>
      <w:r w:rsidRPr="57051335">
        <w:rPr>
          <w:rFonts w:eastAsiaTheme="minorEastAsia"/>
          <w:color w:val="222222"/>
          <w:sz w:val="24"/>
          <w:szCs w:val="24"/>
        </w:rPr>
        <w:t>. Clinical practice guidelines by the Infectious Diseases Society of America for the treatment of methicillin-resistant Staphylococcus aureus infections in adults and children. Clinical infectious diseases. 2011 Feb 1;52(3):e18-55.</w:t>
      </w:r>
    </w:p>
    <w:p w14:paraId="1F0AA8CA" w14:textId="357C6760" w:rsidR="455CF0BE" w:rsidRDefault="455CF0BE" w:rsidP="455CF0BE"/>
    <w:sectPr w:rsidR="455CF0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4858"/>
    <w:multiLevelType w:val="hybridMultilevel"/>
    <w:tmpl w:val="37BA400A"/>
    <w:lvl w:ilvl="0" w:tplc="1F2E8B86">
      <w:start w:val="1"/>
      <w:numFmt w:val="bullet"/>
      <w:lvlText w:val=""/>
      <w:lvlJc w:val="left"/>
      <w:pPr>
        <w:ind w:left="720" w:hanging="360"/>
      </w:pPr>
      <w:rPr>
        <w:rFonts w:ascii="Symbol" w:hAnsi="Symbol" w:hint="default"/>
      </w:rPr>
    </w:lvl>
    <w:lvl w:ilvl="1" w:tplc="11148F46">
      <w:start w:val="1"/>
      <w:numFmt w:val="bullet"/>
      <w:lvlText w:val=""/>
      <w:lvlJc w:val="left"/>
      <w:pPr>
        <w:ind w:left="1440" w:hanging="360"/>
      </w:pPr>
      <w:rPr>
        <w:rFonts w:ascii="Symbol" w:hAnsi="Symbol" w:hint="default"/>
      </w:rPr>
    </w:lvl>
    <w:lvl w:ilvl="2" w:tplc="D9E01448">
      <w:start w:val="1"/>
      <w:numFmt w:val="bullet"/>
      <w:lvlText w:val=""/>
      <w:lvlJc w:val="left"/>
      <w:pPr>
        <w:ind w:left="2160" w:hanging="360"/>
      </w:pPr>
      <w:rPr>
        <w:rFonts w:ascii="Wingdings" w:hAnsi="Wingdings" w:hint="default"/>
      </w:rPr>
    </w:lvl>
    <w:lvl w:ilvl="3" w:tplc="8B56D1EE">
      <w:start w:val="1"/>
      <w:numFmt w:val="bullet"/>
      <w:lvlText w:val=""/>
      <w:lvlJc w:val="left"/>
      <w:pPr>
        <w:ind w:left="2880" w:hanging="360"/>
      </w:pPr>
      <w:rPr>
        <w:rFonts w:ascii="Symbol" w:hAnsi="Symbol" w:hint="default"/>
      </w:rPr>
    </w:lvl>
    <w:lvl w:ilvl="4" w:tplc="2A8A6646">
      <w:start w:val="1"/>
      <w:numFmt w:val="bullet"/>
      <w:lvlText w:val="o"/>
      <w:lvlJc w:val="left"/>
      <w:pPr>
        <w:ind w:left="3600" w:hanging="360"/>
      </w:pPr>
      <w:rPr>
        <w:rFonts w:ascii="Courier New" w:hAnsi="Courier New" w:hint="default"/>
      </w:rPr>
    </w:lvl>
    <w:lvl w:ilvl="5" w:tplc="02E443E4">
      <w:start w:val="1"/>
      <w:numFmt w:val="bullet"/>
      <w:lvlText w:val=""/>
      <w:lvlJc w:val="left"/>
      <w:pPr>
        <w:ind w:left="4320" w:hanging="360"/>
      </w:pPr>
      <w:rPr>
        <w:rFonts w:ascii="Wingdings" w:hAnsi="Wingdings" w:hint="default"/>
      </w:rPr>
    </w:lvl>
    <w:lvl w:ilvl="6" w:tplc="DF66F1E2">
      <w:start w:val="1"/>
      <w:numFmt w:val="bullet"/>
      <w:lvlText w:val=""/>
      <w:lvlJc w:val="left"/>
      <w:pPr>
        <w:ind w:left="5040" w:hanging="360"/>
      </w:pPr>
      <w:rPr>
        <w:rFonts w:ascii="Symbol" w:hAnsi="Symbol" w:hint="default"/>
      </w:rPr>
    </w:lvl>
    <w:lvl w:ilvl="7" w:tplc="2104F052">
      <w:start w:val="1"/>
      <w:numFmt w:val="bullet"/>
      <w:lvlText w:val="o"/>
      <w:lvlJc w:val="left"/>
      <w:pPr>
        <w:ind w:left="5760" w:hanging="360"/>
      </w:pPr>
      <w:rPr>
        <w:rFonts w:ascii="Courier New" w:hAnsi="Courier New" w:hint="default"/>
      </w:rPr>
    </w:lvl>
    <w:lvl w:ilvl="8" w:tplc="FE883C6A">
      <w:start w:val="1"/>
      <w:numFmt w:val="bullet"/>
      <w:lvlText w:val=""/>
      <w:lvlJc w:val="left"/>
      <w:pPr>
        <w:ind w:left="6480" w:hanging="360"/>
      </w:pPr>
      <w:rPr>
        <w:rFonts w:ascii="Wingdings" w:hAnsi="Wingdings" w:hint="default"/>
      </w:rPr>
    </w:lvl>
  </w:abstractNum>
  <w:abstractNum w:abstractNumId="1" w15:restartNumberingAfterBreak="0">
    <w:nsid w:val="21A90222"/>
    <w:multiLevelType w:val="hybridMultilevel"/>
    <w:tmpl w:val="F5B81A9E"/>
    <w:lvl w:ilvl="0" w:tplc="7B6AF570">
      <w:start w:val="1"/>
      <w:numFmt w:val="decimal"/>
      <w:lvlText w:val="%1."/>
      <w:lvlJc w:val="left"/>
      <w:pPr>
        <w:ind w:left="720" w:hanging="360"/>
      </w:pPr>
    </w:lvl>
    <w:lvl w:ilvl="1" w:tplc="658E8F58">
      <w:start w:val="1"/>
      <w:numFmt w:val="bullet"/>
      <w:lvlText w:val=""/>
      <w:lvlJc w:val="left"/>
      <w:pPr>
        <w:ind w:left="1440" w:hanging="360"/>
      </w:pPr>
      <w:rPr>
        <w:rFonts w:ascii="Symbol" w:hAnsi="Symbol" w:hint="default"/>
      </w:rPr>
    </w:lvl>
    <w:lvl w:ilvl="2" w:tplc="C27483A2">
      <w:start w:val="1"/>
      <w:numFmt w:val="lowerRoman"/>
      <w:lvlText w:val="%3."/>
      <w:lvlJc w:val="right"/>
      <w:pPr>
        <w:ind w:left="2160" w:hanging="180"/>
      </w:pPr>
    </w:lvl>
    <w:lvl w:ilvl="3" w:tplc="5F9C5848">
      <w:start w:val="1"/>
      <w:numFmt w:val="decimal"/>
      <w:lvlText w:val="%4."/>
      <w:lvlJc w:val="left"/>
      <w:pPr>
        <w:ind w:left="2880" w:hanging="360"/>
      </w:pPr>
    </w:lvl>
    <w:lvl w:ilvl="4" w:tplc="5B74C936">
      <w:start w:val="1"/>
      <w:numFmt w:val="lowerLetter"/>
      <w:lvlText w:val="%5."/>
      <w:lvlJc w:val="left"/>
      <w:pPr>
        <w:ind w:left="3600" w:hanging="360"/>
      </w:pPr>
    </w:lvl>
    <w:lvl w:ilvl="5" w:tplc="B3765062">
      <w:start w:val="1"/>
      <w:numFmt w:val="lowerRoman"/>
      <w:lvlText w:val="%6."/>
      <w:lvlJc w:val="right"/>
      <w:pPr>
        <w:ind w:left="4320" w:hanging="180"/>
      </w:pPr>
    </w:lvl>
    <w:lvl w:ilvl="6" w:tplc="1A72FC4C">
      <w:start w:val="1"/>
      <w:numFmt w:val="decimal"/>
      <w:lvlText w:val="%7."/>
      <w:lvlJc w:val="left"/>
      <w:pPr>
        <w:ind w:left="5040" w:hanging="360"/>
      </w:pPr>
    </w:lvl>
    <w:lvl w:ilvl="7" w:tplc="A99EBF30">
      <w:start w:val="1"/>
      <w:numFmt w:val="lowerLetter"/>
      <w:lvlText w:val="%8."/>
      <w:lvlJc w:val="left"/>
      <w:pPr>
        <w:ind w:left="5760" w:hanging="360"/>
      </w:pPr>
    </w:lvl>
    <w:lvl w:ilvl="8" w:tplc="0CCAEE9E">
      <w:start w:val="1"/>
      <w:numFmt w:val="lowerRoman"/>
      <w:lvlText w:val="%9."/>
      <w:lvlJc w:val="right"/>
      <w:pPr>
        <w:ind w:left="6480" w:hanging="180"/>
      </w:pPr>
    </w:lvl>
  </w:abstractNum>
  <w:abstractNum w:abstractNumId="2" w15:restartNumberingAfterBreak="0">
    <w:nsid w:val="2CDC3701"/>
    <w:multiLevelType w:val="hybridMultilevel"/>
    <w:tmpl w:val="C1C4100E"/>
    <w:lvl w:ilvl="0" w:tplc="4484F1AC">
      <w:start w:val="1"/>
      <w:numFmt w:val="bullet"/>
      <w:lvlText w:val=""/>
      <w:lvlJc w:val="left"/>
      <w:pPr>
        <w:ind w:left="720" w:hanging="360"/>
      </w:pPr>
      <w:rPr>
        <w:rFonts w:ascii="Symbol" w:hAnsi="Symbol" w:hint="default"/>
      </w:rPr>
    </w:lvl>
    <w:lvl w:ilvl="1" w:tplc="D662E552">
      <w:start w:val="1"/>
      <w:numFmt w:val="bullet"/>
      <w:lvlText w:val="o"/>
      <w:lvlJc w:val="left"/>
      <w:pPr>
        <w:ind w:left="1440" w:hanging="360"/>
      </w:pPr>
      <w:rPr>
        <w:rFonts w:ascii="Courier New" w:hAnsi="Courier New" w:hint="default"/>
      </w:rPr>
    </w:lvl>
    <w:lvl w:ilvl="2" w:tplc="FBE41958">
      <w:start w:val="1"/>
      <w:numFmt w:val="bullet"/>
      <w:lvlText w:val=""/>
      <w:lvlJc w:val="left"/>
      <w:pPr>
        <w:ind w:left="2160" w:hanging="360"/>
      </w:pPr>
      <w:rPr>
        <w:rFonts w:ascii="Wingdings" w:hAnsi="Wingdings" w:hint="default"/>
      </w:rPr>
    </w:lvl>
    <w:lvl w:ilvl="3" w:tplc="C53E57AA">
      <w:start w:val="1"/>
      <w:numFmt w:val="bullet"/>
      <w:lvlText w:val=""/>
      <w:lvlJc w:val="left"/>
      <w:pPr>
        <w:ind w:left="2880" w:hanging="360"/>
      </w:pPr>
      <w:rPr>
        <w:rFonts w:ascii="Symbol" w:hAnsi="Symbol" w:hint="default"/>
      </w:rPr>
    </w:lvl>
    <w:lvl w:ilvl="4" w:tplc="6C708278">
      <w:start w:val="1"/>
      <w:numFmt w:val="bullet"/>
      <w:lvlText w:val="o"/>
      <w:lvlJc w:val="left"/>
      <w:pPr>
        <w:ind w:left="3600" w:hanging="360"/>
      </w:pPr>
      <w:rPr>
        <w:rFonts w:ascii="Courier New" w:hAnsi="Courier New" w:hint="default"/>
      </w:rPr>
    </w:lvl>
    <w:lvl w:ilvl="5" w:tplc="D8D04EBE">
      <w:start w:val="1"/>
      <w:numFmt w:val="bullet"/>
      <w:lvlText w:val=""/>
      <w:lvlJc w:val="left"/>
      <w:pPr>
        <w:ind w:left="4320" w:hanging="360"/>
      </w:pPr>
      <w:rPr>
        <w:rFonts w:ascii="Wingdings" w:hAnsi="Wingdings" w:hint="default"/>
      </w:rPr>
    </w:lvl>
    <w:lvl w:ilvl="6" w:tplc="2BACF062">
      <w:start w:val="1"/>
      <w:numFmt w:val="bullet"/>
      <w:lvlText w:val=""/>
      <w:lvlJc w:val="left"/>
      <w:pPr>
        <w:ind w:left="5040" w:hanging="360"/>
      </w:pPr>
      <w:rPr>
        <w:rFonts w:ascii="Symbol" w:hAnsi="Symbol" w:hint="default"/>
      </w:rPr>
    </w:lvl>
    <w:lvl w:ilvl="7" w:tplc="93D86A94">
      <w:start w:val="1"/>
      <w:numFmt w:val="bullet"/>
      <w:lvlText w:val="o"/>
      <w:lvlJc w:val="left"/>
      <w:pPr>
        <w:ind w:left="5760" w:hanging="360"/>
      </w:pPr>
      <w:rPr>
        <w:rFonts w:ascii="Courier New" w:hAnsi="Courier New" w:hint="default"/>
      </w:rPr>
    </w:lvl>
    <w:lvl w:ilvl="8" w:tplc="2E68AD1C">
      <w:start w:val="1"/>
      <w:numFmt w:val="bullet"/>
      <w:lvlText w:val=""/>
      <w:lvlJc w:val="left"/>
      <w:pPr>
        <w:ind w:left="6480" w:hanging="360"/>
      </w:pPr>
      <w:rPr>
        <w:rFonts w:ascii="Wingdings" w:hAnsi="Wingdings" w:hint="default"/>
      </w:rPr>
    </w:lvl>
  </w:abstractNum>
  <w:abstractNum w:abstractNumId="3" w15:restartNumberingAfterBreak="0">
    <w:nsid w:val="391C2318"/>
    <w:multiLevelType w:val="hybridMultilevel"/>
    <w:tmpl w:val="29285B50"/>
    <w:lvl w:ilvl="0" w:tplc="A67682AC">
      <w:start w:val="1"/>
      <w:numFmt w:val="bullet"/>
      <w:lvlText w:val=""/>
      <w:lvlJc w:val="left"/>
      <w:pPr>
        <w:ind w:left="720" w:hanging="360"/>
      </w:pPr>
      <w:rPr>
        <w:rFonts w:ascii="Symbol" w:hAnsi="Symbol" w:hint="default"/>
      </w:rPr>
    </w:lvl>
    <w:lvl w:ilvl="1" w:tplc="6F823298">
      <w:start w:val="1"/>
      <w:numFmt w:val="bullet"/>
      <w:lvlText w:val="o"/>
      <w:lvlJc w:val="left"/>
      <w:pPr>
        <w:ind w:left="1440" w:hanging="360"/>
      </w:pPr>
      <w:rPr>
        <w:rFonts w:ascii="Courier New" w:hAnsi="Courier New" w:hint="default"/>
      </w:rPr>
    </w:lvl>
    <w:lvl w:ilvl="2" w:tplc="71BE19AC">
      <w:start w:val="1"/>
      <w:numFmt w:val="bullet"/>
      <w:lvlText w:val=""/>
      <w:lvlJc w:val="left"/>
      <w:pPr>
        <w:ind w:left="2160" w:hanging="360"/>
      </w:pPr>
      <w:rPr>
        <w:rFonts w:ascii="Wingdings" w:hAnsi="Wingdings" w:hint="default"/>
      </w:rPr>
    </w:lvl>
    <w:lvl w:ilvl="3" w:tplc="3258EAD2">
      <w:start w:val="1"/>
      <w:numFmt w:val="bullet"/>
      <w:lvlText w:val=""/>
      <w:lvlJc w:val="left"/>
      <w:pPr>
        <w:ind w:left="2880" w:hanging="360"/>
      </w:pPr>
      <w:rPr>
        <w:rFonts w:ascii="Symbol" w:hAnsi="Symbol" w:hint="default"/>
      </w:rPr>
    </w:lvl>
    <w:lvl w:ilvl="4" w:tplc="FB06DCD4">
      <w:start w:val="1"/>
      <w:numFmt w:val="bullet"/>
      <w:lvlText w:val="o"/>
      <w:lvlJc w:val="left"/>
      <w:pPr>
        <w:ind w:left="3600" w:hanging="360"/>
      </w:pPr>
      <w:rPr>
        <w:rFonts w:ascii="Courier New" w:hAnsi="Courier New" w:hint="default"/>
      </w:rPr>
    </w:lvl>
    <w:lvl w:ilvl="5" w:tplc="3FC61794">
      <w:start w:val="1"/>
      <w:numFmt w:val="bullet"/>
      <w:lvlText w:val=""/>
      <w:lvlJc w:val="left"/>
      <w:pPr>
        <w:ind w:left="4320" w:hanging="360"/>
      </w:pPr>
      <w:rPr>
        <w:rFonts w:ascii="Wingdings" w:hAnsi="Wingdings" w:hint="default"/>
      </w:rPr>
    </w:lvl>
    <w:lvl w:ilvl="6" w:tplc="DE6A47AC">
      <w:start w:val="1"/>
      <w:numFmt w:val="bullet"/>
      <w:lvlText w:val=""/>
      <w:lvlJc w:val="left"/>
      <w:pPr>
        <w:ind w:left="5040" w:hanging="360"/>
      </w:pPr>
      <w:rPr>
        <w:rFonts w:ascii="Symbol" w:hAnsi="Symbol" w:hint="default"/>
      </w:rPr>
    </w:lvl>
    <w:lvl w:ilvl="7" w:tplc="E1507078">
      <w:start w:val="1"/>
      <w:numFmt w:val="bullet"/>
      <w:lvlText w:val="o"/>
      <w:lvlJc w:val="left"/>
      <w:pPr>
        <w:ind w:left="5760" w:hanging="360"/>
      </w:pPr>
      <w:rPr>
        <w:rFonts w:ascii="Courier New" w:hAnsi="Courier New" w:hint="default"/>
      </w:rPr>
    </w:lvl>
    <w:lvl w:ilvl="8" w:tplc="30405FE4">
      <w:start w:val="1"/>
      <w:numFmt w:val="bullet"/>
      <w:lvlText w:val=""/>
      <w:lvlJc w:val="left"/>
      <w:pPr>
        <w:ind w:left="6480" w:hanging="360"/>
      </w:pPr>
      <w:rPr>
        <w:rFonts w:ascii="Wingdings" w:hAnsi="Wingdings" w:hint="default"/>
      </w:rPr>
    </w:lvl>
  </w:abstractNum>
  <w:abstractNum w:abstractNumId="4" w15:restartNumberingAfterBreak="0">
    <w:nsid w:val="5FE21C30"/>
    <w:multiLevelType w:val="hybridMultilevel"/>
    <w:tmpl w:val="4D8661F4"/>
    <w:lvl w:ilvl="0" w:tplc="5D62129E">
      <w:start w:val="1"/>
      <w:numFmt w:val="bullet"/>
      <w:lvlText w:val=""/>
      <w:lvlJc w:val="left"/>
      <w:pPr>
        <w:ind w:left="720" w:hanging="360"/>
      </w:pPr>
      <w:rPr>
        <w:rFonts w:ascii="Symbol" w:hAnsi="Symbol" w:hint="default"/>
      </w:rPr>
    </w:lvl>
    <w:lvl w:ilvl="1" w:tplc="8DB61F66">
      <w:start w:val="1"/>
      <w:numFmt w:val="bullet"/>
      <w:lvlText w:val="o"/>
      <w:lvlJc w:val="left"/>
      <w:pPr>
        <w:ind w:left="1440" w:hanging="360"/>
      </w:pPr>
      <w:rPr>
        <w:rFonts w:ascii="Courier New" w:hAnsi="Courier New" w:hint="default"/>
      </w:rPr>
    </w:lvl>
    <w:lvl w:ilvl="2" w:tplc="011CD42E">
      <w:start w:val="1"/>
      <w:numFmt w:val="bullet"/>
      <w:lvlText w:val=""/>
      <w:lvlJc w:val="left"/>
      <w:pPr>
        <w:ind w:left="2160" w:hanging="360"/>
      </w:pPr>
      <w:rPr>
        <w:rFonts w:ascii="Wingdings" w:hAnsi="Wingdings" w:hint="default"/>
      </w:rPr>
    </w:lvl>
    <w:lvl w:ilvl="3" w:tplc="5EA8C0F2">
      <w:start w:val="1"/>
      <w:numFmt w:val="bullet"/>
      <w:lvlText w:val=""/>
      <w:lvlJc w:val="left"/>
      <w:pPr>
        <w:ind w:left="2880" w:hanging="360"/>
      </w:pPr>
      <w:rPr>
        <w:rFonts w:ascii="Symbol" w:hAnsi="Symbol" w:hint="default"/>
      </w:rPr>
    </w:lvl>
    <w:lvl w:ilvl="4" w:tplc="826260DC">
      <w:start w:val="1"/>
      <w:numFmt w:val="bullet"/>
      <w:lvlText w:val="o"/>
      <w:lvlJc w:val="left"/>
      <w:pPr>
        <w:ind w:left="3600" w:hanging="360"/>
      </w:pPr>
      <w:rPr>
        <w:rFonts w:ascii="Courier New" w:hAnsi="Courier New" w:hint="default"/>
      </w:rPr>
    </w:lvl>
    <w:lvl w:ilvl="5" w:tplc="47C0F7D0">
      <w:start w:val="1"/>
      <w:numFmt w:val="bullet"/>
      <w:lvlText w:val=""/>
      <w:lvlJc w:val="left"/>
      <w:pPr>
        <w:ind w:left="4320" w:hanging="360"/>
      </w:pPr>
      <w:rPr>
        <w:rFonts w:ascii="Wingdings" w:hAnsi="Wingdings" w:hint="default"/>
      </w:rPr>
    </w:lvl>
    <w:lvl w:ilvl="6" w:tplc="86AE5A4C">
      <w:start w:val="1"/>
      <w:numFmt w:val="bullet"/>
      <w:lvlText w:val=""/>
      <w:lvlJc w:val="left"/>
      <w:pPr>
        <w:ind w:left="5040" w:hanging="360"/>
      </w:pPr>
      <w:rPr>
        <w:rFonts w:ascii="Symbol" w:hAnsi="Symbol" w:hint="default"/>
      </w:rPr>
    </w:lvl>
    <w:lvl w:ilvl="7" w:tplc="7C0AF4BE">
      <w:start w:val="1"/>
      <w:numFmt w:val="bullet"/>
      <w:lvlText w:val="o"/>
      <w:lvlJc w:val="left"/>
      <w:pPr>
        <w:ind w:left="5760" w:hanging="360"/>
      </w:pPr>
      <w:rPr>
        <w:rFonts w:ascii="Courier New" w:hAnsi="Courier New" w:hint="default"/>
      </w:rPr>
    </w:lvl>
    <w:lvl w:ilvl="8" w:tplc="CC962186">
      <w:start w:val="1"/>
      <w:numFmt w:val="bullet"/>
      <w:lvlText w:val=""/>
      <w:lvlJc w:val="left"/>
      <w:pPr>
        <w:ind w:left="6480" w:hanging="360"/>
      </w:pPr>
      <w:rPr>
        <w:rFonts w:ascii="Wingdings" w:hAnsi="Wingdings" w:hint="default"/>
      </w:rPr>
    </w:lvl>
  </w:abstractNum>
  <w:abstractNum w:abstractNumId="5" w15:restartNumberingAfterBreak="0">
    <w:nsid w:val="70EA072B"/>
    <w:multiLevelType w:val="hybridMultilevel"/>
    <w:tmpl w:val="76B0BAE8"/>
    <w:lvl w:ilvl="0" w:tplc="110E8F5A">
      <w:start w:val="1"/>
      <w:numFmt w:val="bullet"/>
      <w:lvlText w:val=""/>
      <w:lvlJc w:val="left"/>
      <w:pPr>
        <w:ind w:left="720" w:hanging="360"/>
      </w:pPr>
      <w:rPr>
        <w:rFonts w:ascii="Symbol" w:hAnsi="Symbol" w:hint="default"/>
      </w:rPr>
    </w:lvl>
    <w:lvl w:ilvl="1" w:tplc="D23AAD96">
      <w:start w:val="1"/>
      <w:numFmt w:val="bullet"/>
      <w:lvlText w:val=""/>
      <w:lvlJc w:val="left"/>
      <w:pPr>
        <w:ind w:left="1440" w:hanging="360"/>
      </w:pPr>
      <w:rPr>
        <w:rFonts w:ascii="Wingdings" w:hAnsi="Wingdings" w:hint="default"/>
      </w:rPr>
    </w:lvl>
    <w:lvl w:ilvl="2" w:tplc="DC58972E">
      <w:start w:val="1"/>
      <w:numFmt w:val="bullet"/>
      <w:lvlText w:val=""/>
      <w:lvlJc w:val="left"/>
      <w:pPr>
        <w:ind w:left="2160" w:hanging="360"/>
      </w:pPr>
      <w:rPr>
        <w:rFonts w:ascii="Wingdings" w:hAnsi="Wingdings" w:hint="default"/>
      </w:rPr>
    </w:lvl>
    <w:lvl w:ilvl="3" w:tplc="47922E66">
      <w:start w:val="1"/>
      <w:numFmt w:val="bullet"/>
      <w:lvlText w:val=""/>
      <w:lvlJc w:val="left"/>
      <w:pPr>
        <w:ind w:left="2880" w:hanging="360"/>
      </w:pPr>
      <w:rPr>
        <w:rFonts w:ascii="Symbol" w:hAnsi="Symbol" w:hint="default"/>
      </w:rPr>
    </w:lvl>
    <w:lvl w:ilvl="4" w:tplc="76DAFE2C">
      <w:start w:val="1"/>
      <w:numFmt w:val="bullet"/>
      <w:lvlText w:val="o"/>
      <w:lvlJc w:val="left"/>
      <w:pPr>
        <w:ind w:left="3600" w:hanging="360"/>
      </w:pPr>
      <w:rPr>
        <w:rFonts w:ascii="Courier New" w:hAnsi="Courier New" w:hint="default"/>
      </w:rPr>
    </w:lvl>
    <w:lvl w:ilvl="5" w:tplc="8B48CBAC">
      <w:start w:val="1"/>
      <w:numFmt w:val="bullet"/>
      <w:lvlText w:val=""/>
      <w:lvlJc w:val="left"/>
      <w:pPr>
        <w:ind w:left="4320" w:hanging="360"/>
      </w:pPr>
      <w:rPr>
        <w:rFonts w:ascii="Wingdings" w:hAnsi="Wingdings" w:hint="default"/>
      </w:rPr>
    </w:lvl>
    <w:lvl w:ilvl="6" w:tplc="25BAC15A">
      <w:start w:val="1"/>
      <w:numFmt w:val="bullet"/>
      <w:lvlText w:val=""/>
      <w:lvlJc w:val="left"/>
      <w:pPr>
        <w:ind w:left="5040" w:hanging="360"/>
      </w:pPr>
      <w:rPr>
        <w:rFonts w:ascii="Symbol" w:hAnsi="Symbol" w:hint="default"/>
      </w:rPr>
    </w:lvl>
    <w:lvl w:ilvl="7" w:tplc="1FFEDE5E">
      <w:start w:val="1"/>
      <w:numFmt w:val="bullet"/>
      <w:lvlText w:val="o"/>
      <w:lvlJc w:val="left"/>
      <w:pPr>
        <w:ind w:left="5760" w:hanging="360"/>
      </w:pPr>
      <w:rPr>
        <w:rFonts w:ascii="Courier New" w:hAnsi="Courier New" w:hint="default"/>
      </w:rPr>
    </w:lvl>
    <w:lvl w:ilvl="8" w:tplc="50EA7448">
      <w:start w:val="1"/>
      <w:numFmt w:val="bullet"/>
      <w:lvlText w:val=""/>
      <w:lvlJc w:val="left"/>
      <w:pPr>
        <w:ind w:left="6480" w:hanging="360"/>
      </w:pPr>
      <w:rPr>
        <w:rFonts w:ascii="Wingdings" w:hAnsi="Wingdings" w:hint="default"/>
      </w:rPr>
    </w:lvl>
  </w:abstractNum>
  <w:abstractNum w:abstractNumId="6" w15:restartNumberingAfterBreak="0">
    <w:nsid w:val="76FE419B"/>
    <w:multiLevelType w:val="hybridMultilevel"/>
    <w:tmpl w:val="3F700C88"/>
    <w:lvl w:ilvl="0" w:tplc="11B6DA28">
      <w:start w:val="1"/>
      <w:numFmt w:val="decimal"/>
      <w:lvlText w:val="%1."/>
      <w:lvlJc w:val="left"/>
      <w:pPr>
        <w:ind w:left="720" w:hanging="360"/>
      </w:pPr>
    </w:lvl>
    <w:lvl w:ilvl="1" w:tplc="DE9CBBAC">
      <w:start w:val="1"/>
      <w:numFmt w:val="lowerLetter"/>
      <w:lvlText w:val="%2."/>
      <w:lvlJc w:val="left"/>
      <w:pPr>
        <w:ind w:left="1440" w:hanging="360"/>
      </w:pPr>
    </w:lvl>
    <w:lvl w:ilvl="2" w:tplc="43B0033C">
      <w:start w:val="1"/>
      <w:numFmt w:val="lowerRoman"/>
      <w:lvlText w:val="%3."/>
      <w:lvlJc w:val="right"/>
      <w:pPr>
        <w:ind w:left="2160" w:hanging="180"/>
      </w:pPr>
    </w:lvl>
    <w:lvl w:ilvl="3" w:tplc="7630A276">
      <w:start w:val="1"/>
      <w:numFmt w:val="decimal"/>
      <w:lvlText w:val="%4."/>
      <w:lvlJc w:val="left"/>
      <w:pPr>
        <w:ind w:left="2880" w:hanging="360"/>
      </w:pPr>
    </w:lvl>
    <w:lvl w:ilvl="4" w:tplc="0E2C1E96">
      <w:start w:val="1"/>
      <w:numFmt w:val="lowerLetter"/>
      <w:lvlText w:val="%5."/>
      <w:lvlJc w:val="left"/>
      <w:pPr>
        <w:ind w:left="3600" w:hanging="360"/>
      </w:pPr>
    </w:lvl>
    <w:lvl w:ilvl="5" w:tplc="E5B4D9B8">
      <w:start w:val="1"/>
      <w:numFmt w:val="lowerRoman"/>
      <w:lvlText w:val="%6."/>
      <w:lvlJc w:val="right"/>
      <w:pPr>
        <w:ind w:left="4320" w:hanging="180"/>
      </w:pPr>
    </w:lvl>
    <w:lvl w:ilvl="6" w:tplc="F0F6A18A">
      <w:start w:val="1"/>
      <w:numFmt w:val="decimal"/>
      <w:lvlText w:val="%7."/>
      <w:lvlJc w:val="left"/>
      <w:pPr>
        <w:ind w:left="5040" w:hanging="360"/>
      </w:pPr>
    </w:lvl>
    <w:lvl w:ilvl="7" w:tplc="C68C8866">
      <w:start w:val="1"/>
      <w:numFmt w:val="lowerLetter"/>
      <w:lvlText w:val="%8."/>
      <w:lvlJc w:val="left"/>
      <w:pPr>
        <w:ind w:left="5760" w:hanging="360"/>
      </w:pPr>
    </w:lvl>
    <w:lvl w:ilvl="8" w:tplc="2346BF1E">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A7B857"/>
    <w:rsid w:val="00253471"/>
    <w:rsid w:val="0198F3FD"/>
    <w:rsid w:val="30E17847"/>
    <w:rsid w:val="455CF0BE"/>
    <w:rsid w:val="4798C0E3"/>
    <w:rsid w:val="57051335"/>
    <w:rsid w:val="5BC37B01"/>
    <w:rsid w:val="6DA7B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B857"/>
  <w15:chartTrackingRefBased/>
  <w15:docId w15:val="{E5D49BD9-146A-45B8-BCAA-A2AB9958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caa5ce-4b13-4929-997a-fd8c1bfe780a">
      <UserInfo>
        <DisplayName>Zahra K Escobar</DisplayName>
        <AccountId>25</AccountId>
        <AccountType/>
      </UserInfo>
      <UserInfo>
        <DisplayName>John B. Lynch</DisplayName>
        <AccountId>11</AccountId>
        <AccountType/>
      </UserInfo>
      <UserInfo>
        <DisplayName>Natalia Martinez-Paz</DisplayName>
        <AccountId>9</AccountId>
        <AccountType/>
      </UserInfo>
      <UserInfo>
        <DisplayName>Jeannie Chan</DisplayName>
        <AccountId>31</AccountId>
        <AccountType/>
      </UserInfo>
      <UserInfo>
        <DisplayName>Rupali Jain</DisplayName>
        <AccountId>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8063322ECD2A4C836D2589E489F290" ma:contentTypeVersion="4" ma:contentTypeDescription="Create a new document." ma:contentTypeScope="" ma:versionID="cd491d456123c0f02e6483eae28d128b">
  <xsd:schema xmlns:xsd="http://www.w3.org/2001/XMLSchema" xmlns:xs="http://www.w3.org/2001/XMLSchema" xmlns:p="http://schemas.microsoft.com/office/2006/metadata/properties" xmlns:ns2="eacaa5ce-4b13-4929-997a-fd8c1bfe780a" xmlns:ns3="69aa3883-b251-412e-bf1d-acb3217d06af" targetNamespace="http://schemas.microsoft.com/office/2006/metadata/properties" ma:root="true" ma:fieldsID="2b17d253e785fa3a057e0388aef780c7" ns2:_="" ns3:_="">
    <xsd:import namespace="eacaa5ce-4b13-4929-997a-fd8c1bfe780a"/>
    <xsd:import namespace="69aa3883-b251-412e-bf1d-acb3217d06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a5ce-4b13-4929-997a-fd8c1bfe7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a3883-b251-412e-bf1d-acb3217d06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9482F-715C-41E4-ADB2-5EA34B3D9632}">
  <ds:schemaRefs>
    <ds:schemaRef ds:uri="http://schemas.microsoft.com/office/2006/metadata/properties"/>
    <ds:schemaRef ds:uri="http://schemas.microsoft.com/office/infopath/2007/PartnerControls"/>
    <ds:schemaRef ds:uri="eacaa5ce-4b13-4929-997a-fd8c1bfe780a"/>
  </ds:schemaRefs>
</ds:datastoreItem>
</file>

<file path=customXml/itemProps2.xml><?xml version="1.0" encoding="utf-8"?>
<ds:datastoreItem xmlns:ds="http://schemas.openxmlformats.org/officeDocument/2006/customXml" ds:itemID="{F556D6FF-AEB1-45E8-8901-06773522741C}">
  <ds:schemaRefs>
    <ds:schemaRef ds:uri="http://schemas.microsoft.com/sharepoint/v3/contenttype/forms"/>
  </ds:schemaRefs>
</ds:datastoreItem>
</file>

<file path=customXml/itemProps3.xml><?xml version="1.0" encoding="utf-8"?>
<ds:datastoreItem xmlns:ds="http://schemas.openxmlformats.org/officeDocument/2006/customXml" ds:itemID="{FEFEDA5D-AC82-4A45-AE96-96F8038B5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aa5ce-4b13-4929-997a-fd8c1bfe780a"/>
    <ds:schemaRef ds:uri="69aa3883-b251-412e-bf1d-acb3217d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 Lynch</dc:creator>
  <cp:keywords/>
  <dc:description/>
  <cp:lastModifiedBy>Natalia Martinez-Paz</cp:lastModifiedBy>
  <cp:revision>2</cp:revision>
  <dcterms:created xsi:type="dcterms:W3CDTF">2019-04-09T19:03:00Z</dcterms:created>
  <dcterms:modified xsi:type="dcterms:W3CDTF">2019-04-09T19:03:00Z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4096">
    <vt:lpwstr>21</vt:lpwstr>
  </property>
  <property fmtid="{D5CDD505-2E9C-101B-9397-08002B2CF9AE}" pid="3" name="ContentTypeId">
    <vt:lpwstr>0x010100508063322ECD2A4C836D2589E489F290</vt:lpwstr>
  </property>
  <property fmtid="{D5CDD505-2E9C-101B-9397-08002B2CF9AE}" pid="4" name="AuthorIds_UIVersion_6144">
    <vt:lpwstr>21</vt:lpwstr>
  </property>
</Properties>
</file>